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0"/>
        <w:spacing w:after="0" w:line="237" w:lineRule="auto"/>
        <w:tabs>
          <w:tab w:leader="none" w:pos="3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340" w:hanging="330"/>
        <w:spacing w:after="0" w:line="262" w:lineRule="auto"/>
        <w:tabs>
          <w:tab w:leader="none" w:pos="3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340"/>
        <w:spacing w:after="0"/>
        <w:tabs>
          <w:tab w:leader="none" w:pos="6200" w:val="left"/>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148590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QUANTERIX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20-8957988</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470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8"/>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9"/>
              </w:rPr>
              <w:t>Billerica, MA</w:t>
            </w:r>
          </w:p>
        </w:tc>
        <w:tc>
          <w:tcPr>
            <w:tcW w:w="3220" w:type="dxa"/>
            <w:vAlign w:val="bottom"/>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01821</w:t>
            </w:r>
          </w:p>
        </w:tc>
      </w:tr>
      <w:tr>
        <w:trPr>
          <w:trHeight w:val="239"/>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4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88265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 w:lineRule="exact"/>
        <w:rPr>
          <w:sz w:val="24"/>
          <w:szCs w:val="24"/>
          <w:color w:val="auto"/>
        </w:rPr>
      </w:pPr>
    </w:p>
    <w:p>
      <w:pPr>
        <w:ind w:left="20" w:right="260" w:firstLine="51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20"/>
        <w:spacing w:after="0" w:line="242" w:lineRule="exact"/>
        <w:tabs>
          <w:tab w:leader="none" w:pos="5080" w:val="left"/>
          <w:tab w:leader="none" w:pos="5800"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6" w:lineRule="exact"/>
        <w:rPr>
          <w:sz w:val="24"/>
          <w:szCs w:val="24"/>
          <w:color w:val="auto"/>
        </w:rPr>
      </w:pPr>
    </w:p>
    <w:p>
      <w:pPr>
        <w:jc w:val="both"/>
        <w:ind w:left="20" w:right="5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left="20" w:right="2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9" w:lineRule="exact"/>
        <w:rPr>
          <w:sz w:val="24"/>
          <w:szCs w:val="24"/>
          <w:color w:val="auto"/>
        </w:rPr>
      </w:pPr>
    </w:p>
    <w:p>
      <w:pPr>
        <w:ind w:left="20" w:right="3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4, 2022, the registrant had 36,910,137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33"/>
        </w:trPr>
        <w:tc>
          <w:tcPr>
            <w:tcW w:w="3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2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264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1. Financial Statements</w:t>
            </w:r>
          </w:p>
        </w:tc>
        <w:tc>
          <w:tcPr>
            <w:tcW w:w="64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68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at March 31, 2022 and December 31, 2021</w:t>
            </w:r>
          </w:p>
        </w:tc>
        <w:tc>
          <w:tcPr>
            <w:tcW w:w="12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2022 and</w:t>
            </w:r>
          </w:p>
        </w:tc>
        <w:tc>
          <w:tcPr>
            <w:tcW w:w="38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560" w:type="dxa"/>
            <w:vAlign w:val="bottom"/>
            <w:tcBorders>
              <w:top w:val="single" w:sz="8" w:color="0000EE"/>
            </w:tcBorders>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Loss for the Three Months Ended March 31,</w:t>
            </w: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2022</w:t>
            </w: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3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Equity for the Three Months Ended March 31,</w:t>
            </w: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4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85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492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15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85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4"/>
          </w:tcPr>
          <w:p>
            <w:pPr>
              <w:jc w:val="center"/>
              <w:ind w:right="28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380" w:type="dxa"/>
            <w:vAlign w:val="bottom"/>
          </w:tcPr>
          <w:p>
            <w:pPr>
              <w:spacing w:after="0"/>
              <w:rPr>
                <w:sz w:val="24"/>
                <w:szCs w:val="24"/>
                <w:color w:val="auto"/>
              </w:rPr>
            </w:pPr>
          </w:p>
        </w:tc>
      </w:tr>
      <w:tr>
        <w:trPr>
          <w:trHeight w:val="412"/>
        </w:trPr>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2940" w:type="dxa"/>
            <w:vAlign w:val="bottom"/>
            <w:tcBorders>
              <w:top w:val="single" w:sz="8" w:color="0000EE"/>
            </w:tcBorders>
            <w:gridSpan w:val="6"/>
          </w:tcPr>
          <w:p>
            <w:pPr>
              <w:spacing w:after="0"/>
              <w:rPr>
                <w:sz w:val="24"/>
                <w:szCs w:val="24"/>
                <w:color w:val="auto"/>
              </w:rPr>
            </w:pPr>
          </w:p>
        </w:tc>
        <w:tc>
          <w:tcPr>
            <w:tcW w:w="28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8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6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6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2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6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23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2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85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8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66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7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80" w:type="dxa"/>
            <w:vAlign w:val="bottom"/>
            <w:tcBorders>
              <w:top w:val="single" w:sz="8" w:color="0000EE"/>
            </w:tcBorders>
            <w:gridSpan w:val="2"/>
          </w:tcPr>
          <w:p>
            <w:pPr>
              <w:spacing w:after="0"/>
              <w:rPr>
                <w:sz w:val="24"/>
                <w:szCs w:val="24"/>
                <w:color w:val="auto"/>
              </w:rPr>
            </w:pPr>
          </w:p>
        </w:tc>
        <w:tc>
          <w:tcPr>
            <w:tcW w:w="738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3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2021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0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899" w:firstLine="2832"/>
        <w:spacing w:after="0" w:line="263" w:lineRule="auto"/>
        <w:rPr>
          <w:sz w:val="20"/>
          <w:szCs w:val="20"/>
          <w:color w:val="auto"/>
        </w:rPr>
      </w:pPr>
      <w:r>
        <w:rPr>
          <w:rFonts w:ascii="Times New Roman" w:cs="Times New Roman" w:eastAsia="Times New Roman" w:hAnsi="Times New Roman"/>
          <w:sz w:val="18"/>
          <w:szCs w:val="18"/>
          <w:b w:val="1"/>
          <w:bCs w:val="1"/>
          <w:color w:val="auto"/>
        </w:rPr>
        <w:t>PART I — FINANCIAL INFORMATION Item 1. Financial Statements (Unaudited)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2022  December 31, 2021</w:t>
            </w:r>
          </w:p>
        </w:tc>
      </w:tr>
      <w:tr>
        <w:trPr>
          <w:trHeight w:val="19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396,465</w:t>
            </w:r>
          </w:p>
        </w:tc>
      </w:tr>
      <w:tr>
        <w:trPr>
          <w:trHeight w:val="189"/>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$248 and $419 as of March 31, 2022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r>
      <w:tr>
        <w:trPr>
          <w:trHeight w:val="205"/>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22,190</w:t>
            </w:r>
          </w:p>
        </w:tc>
      </w:tr>
      <w:tr>
        <w:trPr>
          <w:trHeight w:val="203"/>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w:t>
            </w:r>
          </w:p>
        </w:tc>
      </w:tr>
      <w:tr>
        <w:trPr>
          <w:trHeight w:val="19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448,955</w:t>
            </w: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w:t>
            </w: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r>
      <w:tr>
        <w:trPr>
          <w:trHeight w:val="20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11,491</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6"/>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504,657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183"/>
        </w:trPr>
        <w:tc>
          <w:tcPr>
            <w:tcW w:w="66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 term lease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3"/>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19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36,977</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lease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20,464</w:t>
            </w: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Authorized—120,000,000 shares as of March 31, 2022 and December 31, 2021; issued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outstanding — 36,899,156 and 36,768,035 shares as of March 31, 2022 and December 31, 2021,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750,742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745,936</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(323,615)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(305,462)</w:t>
            </w:r>
          </w:p>
        </w:tc>
      </w:tr>
      <w:tr>
        <w:trPr>
          <w:trHeight w:val="19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426,408</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440,952</w:t>
            </w: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504,657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revenue</w:t>
            </w:r>
          </w:p>
        </w:tc>
        <w:tc>
          <w:tcPr>
            <w:tcW w:w="2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27,209</w:t>
            </w: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goods sold: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14,993</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w:t>
            </w:r>
          </w:p>
        </w:tc>
        <w:tc>
          <w:tcPr>
            <w:tcW w:w="0" w:type="dxa"/>
            <w:vAlign w:val="bottom"/>
          </w:tcPr>
          <w:p>
            <w:pPr>
              <w:spacing w:after="0"/>
              <w:rPr>
                <w:sz w:val="1"/>
                <w:szCs w:val="1"/>
                <w:color w:val="auto"/>
              </w:rPr>
            </w:pPr>
          </w:p>
        </w:tc>
      </w:tr>
      <w:tr>
        <w:trPr>
          <w:trHeight w:val="196"/>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16,349</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25,712</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19,455</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32,746</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26,138</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96"/>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(18,352)</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36,850,894</w:t>
            </w:r>
          </w:p>
        </w:tc>
        <w:tc>
          <w:tcPr>
            <w:tcW w:w="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34,434,931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10"/>
        </w:trPr>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0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16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r>
      <w:tr>
        <w:trPr>
          <w:trHeight w:val="20"/>
        </w:trPr>
        <w:tc>
          <w:tcPr>
            <w:tcW w:w="5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(18,153)</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0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step-up amortization</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on accounts receivable</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(171)</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0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r>
      <w:tr>
        <w:trPr>
          <w:trHeight w:val="203"/>
        </w:trPr>
        <w:tc>
          <w:tcPr>
            <w:tcW w:w="6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(2,070)</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r>
      <w:tr>
        <w:trPr>
          <w:trHeight w:val="203"/>
        </w:trPr>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03"/>
        </w:trPr>
        <w:tc>
          <w:tcPr>
            <w:tcW w:w="6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(5,306)</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03"/>
        </w:trPr>
        <w:tc>
          <w:tcPr>
            <w:tcW w:w="6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compensation and benefits, other accrued expenses and other current liabilities</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(4,921)</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w:t>
            </w:r>
          </w:p>
        </w:tc>
      </w:tr>
      <w:tr>
        <w:trPr>
          <w:trHeight w:val="202"/>
        </w:trPr>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 acquisition costs</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3"/>
        </w:trPr>
        <w:tc>
          <w:tcPr>
            <w:tcW w:w="6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3"/>
        </w:trPr>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60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196"/>
        </w:trPr>
        <w:tc>
          <w:tcPr>
            <w:tcW w:w="6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(21,695)</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w:t>
            </w: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(1,394)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from RADx grant on assets purchased</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196"/>
        </w:trPr>
        <w:tc>
          <w:tcPr>
            <w:tcW w:w="6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19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of common stock in underwritten public offering, net</w:t>
            </w:r>
          </w:p>
        </w:tc>
        <w:tc>
          <w:tcPr>
            <w:tcW w:w="2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269,718</w:t>
            </w:r>
          </w:p>
        </w:tc>
      </w:tr>
      <w:tr>
        <w:trPr>
          <w:trHeight w:val="20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ESPP purchase</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196"/>
        </w:trPr>
        <w:tc>
          <w:tcPr>
            <w:tcW w:w="60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273,313</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261,659</w:t>
            </w:r>
          </w:p>
        </w:tc>
      </w:tr>
      <w:tr>
        <w:trPr>
          <w:trHeight w:val="203"/>
        </w:trPr>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foreign currency exchange rate on cash</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(558)</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399,042</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182,584</w:t>
            </w:r>
          </w:p>
        </w:tc>
      </w:tr>
      <w:tr>
        <w:trPr>
          <w:trHeight w:val="23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at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376,894</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444,072</w:t>
            </w:r>
          </w:p>
        </w:tc>
      </w:tr>
      <w:tr>
        <w:trPr>
          <w:trHeight w:val="183"/>
        </w:trPr>
        <w:tc>
          <w:tcPr>
            <w:tcW w:w="60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Noncash transactions: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 obtained in exchange for lease liabilities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1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374,317</w:t>
            </w:r>
          </w:p>
        </w:tc>
        <w:tc>
          <w:tcPr>
            <w:tcW w:w="1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442,672</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19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376,894</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444,072</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See accompanying note</w:t>
      </w:r>
      <w:r>
        <w:rPr>
          <w:rFonts w:ascii="Times New Roman" w:cs="Times New Roman" w:eastAsia="Times New Roman" w:hAnsi="Times New Roman"/>
          <w:sz w:val="17"/>
          <w:szCs w:val="17"/>
          <w:color w:val="auto"/>
        </w:rPr>
        <w: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Quanterix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620" w:type="dxa"/>
            <w:vAlign w:val="bottom"/>
            <w:gridSpan w:val="3"/>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36,768,035</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(305,462)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440,952</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capital 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Exercised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3"/>
        </w:trPr>
        <w:tc>
          <w:tcPr>
            <w:tcW w:w="2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units converted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ESPP stock purchase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03"/>
        </w:trPr>
        <w:tc>
          <w:tcPr>
            <w:tcW w:w="2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(18,153)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36,899,156</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750,742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(323,615)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40" w:type="dxa"/>
            <w:vAlign w:val="bottom"/>
          </w:tcPr>
          <w:p>
            <w:pPr>
              <w:spacing w:after="0"/>
              <w:rPr>
                <w:sz w:val="24"/>
                <w:szCs w:val="24"/>
                <w:color w:val="auto"/>
              </w:rPr>
            </w:pPr>
          </w:p>
        </w:tc>
        <w:tc>
          <w:tcPr>
            <w:tcW w:w="1620" w:type="dxa"/>
            <w:vAlign w:val="bottom"/>
            <w:gridSpan w:val="3"/>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31,796,544</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451,433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206,125</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capital 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Exercised warrants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40" w:type="dxa"/>
            <w:vAlign w:val="bottom"/>
          </w:tcPr>
          <w:p>
            <w:pPr>
              <w:ind w:left="2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Exercised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281,324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units converted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40" w:type="dxa"/>
            <w:vAlign w:val="bottom"/>
          </w:tcPr>
          <w:p>
            <w:pPr>
              <w:ind w:left="2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ESPP stock purchase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common stock in underwritten</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offering, net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4,107,142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269,718</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(10,104)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36,294,928</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728,128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(257,878)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471,469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launched its first immunoassay platform, the Simoa HD-1 (HD-1), in 2014. The HD-1 is a fully automated immunoassay bead-based platform with multiplexing and custom assay capability, and related assay test kits and consumable materials. In the fourth quarter of 2017, the Company launched a second bead-based immunoassay platform (SR-X) with a more compact footprint than the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HD-1 and phased out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and have been prepared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2021 filed with the SEC on March 1, 2022 (the 2021 Annual Report on Form 10-K).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filed with the SEC on March 1, 2022. There have been no material changes in the Company’s significant accounting policies during the three months ended March 31, 2022.</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and other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For contract research services recognized over time, the Company uses the output method to measure the progress toward the complete satisfaction of the performance obligations. Revenues from other services are immaterial.</w:t>
      </w:r>
    </w:p>
    <w:p>
      <w:pPr>
        <w:spacing w:after="0" w:line="188"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 during the three months ended March 31, 2022, and under the Statement of Work receives $1.5 million per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calendar quarter during 2022, beginning with the three months ended March 31, 2022. The revenue will be recognized over a one-year period.</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the Company entered into a Technology License Agreement (the Lilly License) under which Lilly granted to the Company a non-exclusive license to Lilly’s proprietary P-tau217 antibody technology for potential near-term use in research use only products and services and future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diagnostics applications within the field of Alzheimer’s disease. In consideration of the license, the Company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upfront fee, is required to make milestone payments based on the achievement of predetermined regulatory and commercial events, and will pay a royalty on net sales of licensed products.</w:t>
      </w:r>
    </w:p>
    <w:p>
      <w:pPr>
        <w:spacing w:after="0" w:line="187" w:lineRule="exact"/>
        <w:rPr>
          <w:sz w:val="20"/>
          <w:szCs w:val="20"/>
          <w:color w:val="auto"/>
        </w:rPr>
      </w:pPr>
    </w:p>
    <w:p>
      <w:pPr>
        <w:jc w:val="both"/>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The Company concluded that the Lilly Collaboration Agreement (including the Statement of Work) and the Lilly License represented a single contract with a customer and is accounting for the agreements as service revenue recognized over time as the services are delivered. The transaction price for the Lilly Collaboration Agreement is $10.9</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million. Contingent amounts due to Lilly represent variable consideration payable to a customer and will be recognized as reductions to service revenue up to the amount of the transaction price recognized, when probable. The Company is utilizing an input method to measure the delivery of services by calculating costs incurred at each period end relative to total costs expected to be incurred.</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approximately $2.7 million of revenue from the Lilly Collaboration Agreement as service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When disaggregating revenue, the Company considered all of the economic factors that may affect its revenues.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from contracts with customers by revenue type (in thousands):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Instruments</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 w:type="dxa"/>
            <w:vAlign w:val="bottom"/>
          </w:tcPr>
          <w:p>
            <w:pPr>
              <w:spacing w:after="0"/>
              <w:rPr>
                <w:sz w:val="18"/>
                <w:szCs w:val="18"/>
                <w:color w:val="auto"/>
              </w:rPr>
            </w:pPr>
          </w:p>
        </w:tc>
        <w:tc>
          <w:tcPr>
            <w:tcW w:w="36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Service-type warranties</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8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0" w:type="dxa"/>
            <w:vAlign w:val="bottom"/>
          </w:tcPr>
          <w:p>
            <w:pPr>
              <w:spacing w:after="0"/>
              <w:rPr>
                <w:sz w:val="18"/>
                <w:szCs w:val="18"/>
                <w:color w:val="auto"/>
              </w:rPr>
            </w:pPr>
          </w:p>
        </w:tc>
        <w:tc>
          <w:tcPr>
            <w:tcW w:w="36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c>
          <w:tcPr>
            <w:tcW w:w="4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 revenues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Service-type warranties</w:t>
            </w: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72"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revenue at the later of when the sale or usage occurs and the satisfaction or partial satisfaction of the performance obligation to which the royalty has been allocated.</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aggregate amount of transaction price that is allocated to performance obligations that have not yet been satisfied or are partially satisfied as of March 31, 2022 and 2021 and December 31, 2021 is $10.4 million and $7.5 million, respectively. As of March 31, 2022, of the performance obligations not yet satisfied or partially satisfied, $9.2 million is expected to be recognized as revenue in the next 12 months, with the remainder to be recognized within the 24 months thereafter. The $9.2 million at March 31, 2022 principally consists of amounts billed for undelivered services related to initial and extended service-type warranties and research services, as well as $0.5 million related to undelivered licenses of intellectual property for a diagnostics company (see Note 13).</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9"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7,460</w:t>
      </w:r>
    </w:p>
    <w:p>
      <w:pPr>
        <w:spacing w:after="0" w:line="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wp:posOffset>
            </wp:positionV>
            <wp:extent cx="1011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011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31750</wp:posOffset>
            </wp:positionV>
            <wp:extent cx="1011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p>
      <w:pPr>
        <w:spacing w:after="0" w:line="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costs to obtain a contract</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954"/>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954"/>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9" w:lineRule="exact"/>
        <w:rPr>
          <w:sz w:val="20"/>
          <w:szCs w:val="20"/>
          <w:color w:val="auto"/>
        </w:rPr>
      </w:pPr>
    </w:p>
    <w:p>
      <w:pPr>
        <w:ind w:left="1265" w:hanging="1265"/>
        <w:spacing w:after="0"/>
        <w:tabs>
          <w:tab w:leader="none" w:pos="1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w:t>
      </w:r>
    </w:p>
    <w:p>
      <w:pPr>
        <w:spacing w:after="0" w:line="7" w:lineRule="exact"/>
        <w:rPr>
          <w:rFonts w:ascii="Times New Roman" w:cs="Times New Roman" w:eastAsia="Times New Roman" w:hAnsi="Times New Roman"/>
          <w:sz w:val="18"/>
          <w:szCs w:val="18"/>
          <w:color w:val="auto"/>
        </w:rPr>
      </w:pPr>
    </w:p>
    <w:p>
      <w:pPr>
        <w:ind w:left="1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0198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1265" w:hanging="1265"/>
        <w:spacing w:after="0"/>
        <w:tabs>
          <w:tab w:leader="none" w:pos="1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19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198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735" w:space="720"/>
            <w:col w:w="2564"/>
          </w:cols>
          <w:pgMar w:left="1440" w:top="513" w:right="1440" w:bottom="1440" w:gutter="0" w:footer="0" w:header="0"/>
          <w:type w:val="continuous"/>
        </w:sectPr>
      </w:pPr>
    </w:p>
    <w:p>
      <w:pPr>
        <w:spacing w:after="0" w:line="5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ASC 606 provides entities with certain practical expedients and accounting policy elections to minimize the cost and burden of adoption.</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will exclude from its transaction price any amounts collected from customers related to sales and other similar taxes.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March 31, 2022 and 2021, respectively.</w:t>
      </w:r>
    </w:p>
    <w:p>
      <w:pPr>
        <w:sectPr>
          <w:pgSz w:w="11900" w:h="16838" w:orient="portrait"/>
          <w:cols w:equalWidth="0" w:num="1">
            <w:col w:w="9019"/>
          </w:cols>
          <w:pgMar w:left="1440" w:top="513" w:right="1440"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 services under the arrangement when the funding is committed. Revenues and related research and development expenses are presented gross in the consolidated statements of operations as we have determined we are the primary obligor under the arrangement relative to the research and development services.</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Accounting for grants does not fall under ASC 606, as the grantor will not benefit directly from the Company’s expansion or product development. As there is no authoritative guidance under U.S. GAAP on accounting for grants to for-profit business entities, the Company has accounted for grants by analogy to IAS 20.</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Grants to the Company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September 29, 2020, the Company entered into workplan 2 (WP2) with the NIH under its RADx program. The contract, which has a total award value of $18.2 million, accelerated the continued development, scale-up, and deployment of the novel SARS-CoV-2 antigen detection test using our Simoa technology. The contract provided funding to expand assay kit manufacturing capacity and commercial deployment readiness. Release of the $18.2 million of funding under WP2 was based on the achievement of certain milestones. Contract funding was subject to achievement of these pre-defined milestones and the contract period ran through September 2021, with one milestone extended to May 31, 2022. As of March 31, 2022, the Company had received $17.7 million out of the full $18.2 million under WP2. During the three months ended March 31, 2022, the Company recognized no grant revenue and incurred no research and development expense related to WP2. During the three months ended March 31, 2021, the Company recognized $2.3 million in grant revenue and incurred $1.8 million in research and development expense related to WP2. In May 2022, the Company received the final $0.5 million under WP2.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cumulative activity under WP2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5"/>
                <w:szCs w:val="15"/>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revenue from research and development activities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used for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proceeds for assets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revenue</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recognized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accrued</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cash received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received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reasonably assured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9"/>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WP2 grant amount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29"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have been excluded from the calculation of diluted net loss per share as their effect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2,185,706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gridSpan w:val="3"/>
          </w:tcPr>
          <w:p>
            <w:pPr>
              <w:jc w:val="right"/>
              <w:ind w:right="417"/>
              <w:spacing w:after="0"/>
              <w:rPr>
                <w:sz w:val="20"/>
                <w:szCs w:val="20"/>
                <w:color w:val="auto"/>
              </w:rPr>
            </w:pPr>
            <w:r>
              <w:rPr>
                <w:rFonts w:ascii="Times New Roman" w:cs="Times New Roman" w:eastAsia="Times New Roman" w:hAnsi="Times New Roman"/>
                <w:sz w:val="18"/>
                <w:szCs w:val="18"/>
                <w:color w:val="auto"/>
              </w:rPr>
              <w:t>Fair value measurements are as follows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00" w:type="dxa"/>
            <w:vAlign w:val="bottom"/>
          </w:tcPr>
          <w:p>
            <w:pPr>
              <w:spacing w:after="0"/>
              <w:rPr>
                <w:sz w:val="12"/>
                <w:szCs w:val="12"/>
                <w:color w:val="auto"/>
              </w:rPr>
            </w:pPr>
          </w:p>
        </w:tc>
        <w:tc>
          <w:tcPr>
            <w:tcW w:w="88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35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7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Pr>
          <w:p>
            <w:pPr>
              <w:spacing w:after="0"/>
              <w:rPr>
                <w:sz w:val="12"/>
                <w:szCs w:val="12"/>
                <w:color w:val="auto"/>
              </w:rPr>
            </w:pPr>
          </w:p>
        </w:tc>
        <w:tc>
          <w:tcPr>
            <w:tcW w:w="88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35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7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332,093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6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360" w:type="dxa"/>
            <w:vAlign w:val="bottom"/>
            <w:shd w:val="clear" w:color="auto" w:fill="CCEEFF"/>
          </w:tcPr>
          <w:p>
            <w:pPr>
              <w:spacing w:after="0"/>
              <w:rPr>
                <w:sz w:val="18"/>
                <w:szCs w:val="18"/>
                <w:color w:val="auto"/>
              </w:rPr>
            </w:pPr>
          </w:p>
        </w:tc>
      </w:tr>
      <w:tr>
        <w:trPr>
          <w:trHeight w:val="20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inventory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3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Inventory comprises commercial instruments, assays, and the materials required to manufacture limited instruments and assays.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Allowance for Credit Losses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Customers are assessed for credit worthiness upfront through a credit review, which includes assessment based on the Company’s analysis of customers’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8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accounts receivable to present the net amount expected to be collected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gain</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charged against allowances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 Other accrued expenses</w:t>
            </w: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tc>
        <w:tc>
          <w:tcPr>
            <w:tcW w:w="1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purchases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expense for all stock awards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136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2"/>
                <w:szCs w:val="12"/>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09"/>
        </w:trPr>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2022, there was $42.8 million of total unrecognized compensation cost related to unvested RSUs and stock options, which is expected to be recognized over the remaining weighted-average vesting period of 2.9 years.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January 28, 2022, the Company executed a lease for 85,800 square feet of office and laboratory space in Bedford, Massachusetts. The office space covered by this lease will serve as our principal office and headquarters once construction is completed in the third quarter of 2022. The lease commencement date was February 1, 2022, when the Company gained access to the underlying facilities. The Company has negotiated a tenant improvement allowance with the landlord which will offset a portion of the Company’s construction costs. The Company has assessed whether improvements made to the premises are landlord-owned or company-owned, with payments made by the Company for landlord-owned assets accounted for as lease incentives. The initial term of the lease’s payment schedule is eight years and nine months beginning on May 1, 2022. The Company has the option to extend the lease for two additional five-year periods.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was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 (1)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5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0"/>
        </w:trPr>
        <w:tc>
          <w:tcPr>
            <w:tcW w:w="5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79" w:firstLine="638"/>
        <w:spacing w:after="0" w:line="282" w:lineRule="auto"/>
        <w:tabs>
          <w:tab w:leader="none" w:pos="9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costs and variable lease costs incurred by the Company for the three months ended March 31, 2022 were not material.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and cash flow information was as follows (amounts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47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balance sheet information:</w:t>
            </w: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w w:val="94"/>
              </w:rPr>
              <w:t>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4"/>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Future minimum commitments under the Company’s operating leases in effect as of March 31,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ending March 31,</w:t>
            </w: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16"/>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w:t>
            </w:r>
          </w:p>
        </w:tc>
      </w:tr>
      <w:tr>
        <w:trPr>
          <w:trHeight w:val="210"/>
        </w:trPr>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62,649</w:t>
            </w:r>
          </w:p>
        </w:tc>
      </w:tr>
      <w:tr>
        <w:trPr>
          <w:trHeight w:val="216"/>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09"/>
        </w:trPr>
        <w:tc>
          <w:tcPr>
            <w:tcW w:w="4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45,449</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60" w:right="6219" w:hanging="10"/>
        <w:spacing w:after="0" w:line="503" w:lineRule="auto"/>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Tufts University</w:t>
      </w: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low single digit royalties on direct sales and services and a royalty on sublicense income, as well as an annual maintenance fee that is credited against royalties payable. During the three months ended March 31, 2022 and 2021, the Company recorded royalty expense of $0.3 million and $0.5 million, respectively, in cost of product revenue on the consolidated statements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Collaboration and license arrangements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$0.1 million and $0.3 million for three months ended March 31, 2022 and 2021, respectively, associated with these licenses.</w:t>
      </w:r>
    </w:p>
    <w:p>
      <w:pPr>
        <w:spacing w:after="0" w:line="180" w:lineRule="exact"/>
        <w:rPr>
          <w:sz w:val="20"/>
          <w:szCs w:val="20"/>
          <w:color w:val="auto"/>
        </w:rPr>
      </w:pPr>
    </w:p>
    <w:p>
      <w:pPr>
        <w:ind w:left="60" w:right="319" w:firstLine="693"/>
        <w:spacing w:after="0" w:line="282" w:lineRule="auto"/>
        <w:rPr>
          <w:sz w:val="20"/>
          <w:szCs w:val="20"/>
          <w:color w:val="auto"/>
        </w:rPr>
      </w:pPr>
      <w:r>
        <w:rPr>
          <w:rFonts w:ascii="Times New Roman" w:cs="Times New Roman" w:eastAsia="Times New Roman" w:hAnsi="Times New Roman"/>
          <w:sz w:val="18"/>
          <w:szCs w:val="18"/>
          <w:color w:val="auto"/>
        </w:rPr>
        <w:t>At both March 31, 2022 and December 31, 2021, the Company had $0.5 million of deferred revenue related to ongoing negotiations with a diagnostics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Abbott Laboratories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Abbott agreed to pay the Company an initial license fee of $10.0 million in connection with the execution of the Abbott License Agreement,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8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no revenue under the Abbott License Agreement.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the License Agreement for certain intellectual property with Tufts (see Note 11). Tufts’ equity ownership in the Company makes Tufts a related party. A member of our Board of Directors was previously affiliated with Tufts and continues to receive compensation from Tufts on a formulaic basis on royalties and license payments the Company makes to Tufts. During the three months ended March 31, 2022 and 2021, the Company recorded royalty expense of $0.3 million and $0.5 million in cost of product revenue on the consolidated statements of operations, respectively.</w:t>
      </w:r>
    </w:p>
    <w:p>
      <w:pPr>
        <w:spacing w:after="0" w:line="18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One of the Company’s Directors is affiliated with Harvard University, the Wyss Institute at Harvard and Mass General Brigham. Revenue recorded from sales to Harvard University and its affiliates and to Mass General Brigham and its affiliates totaled $0.2 million and less than $0.1 million for the three months ended March 31, 2022 and 2021, respectively. The Company had $0.1 million and $0.2 million in accounts receivable from Harvard University and its affiliates and Mass General Brigham and its affiliates at March 31, 2022 and December 31, 2021, respectively. Deferred revenue from Harvard University and its affiliates and Mass General Brigham and its affiliates was $0 and $0.1 million at March 31, 2022 and December 31, 2021, respectively.</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Amounts from other related party relationships are immaterial. Collectively, the Company had $18 thousand in accounts receivable at December 31, 2021 from these other related parties. In addition, the Company had a total of $57 thousand and $6 thousand in accounts payable at March 31, 2022 and December 31, 2021, respectively, from these other related parties. The Company had a total of $4 thousand in other accrued expenses at March 31, 2022 from these related parties. In the three months ended March 31, 2022, the Company recorded cost of product revenue of $9 thousand, cost of service and other revenue of $52 thousand, research and development of $41 thousand and selling, general, and administrative of $33 thousand, collectively from these other related parties. In the three months ended March 31, 2021, the Company recorded service revenue of $20 thousand, cost of product revenue of $7 thousand, cost of service and other revenue of $17 thousand, research and development of $6 thousand and selling, general, and administrative of $14 thousand, in total from these other related parties.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shows the changes in the components of accumulated other comprehensive loss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3"/>
                <w:szCs w:val="13"/>
                <w:color w:val="auto"/>
              </w:rPr>
            </w:pP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48"/>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accumulated other comprehensive loss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09"/>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20"/>
        </w:trPr>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24"/>
                <w:szCs w:val="24"/>
                <w:color w:val="auto"/>
              </w:rPr>
            </w:pP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48"/>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accumulated other comprehensive loss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2022, the Company implemented an executive leadership succession plan designed to leverage the Company’s strong foundation for growth. In connection with this plan, E. Kevin Hrusovsky has transitioned from his role as Chief Executive Officer and was appointed Executive Chairman of the Company’s Board of Directors (the “Board”), effective April 25, 2022. Effective April 25, 2022, Masoud Toloue, Ph.D., President of Quanterix and Diagnostics, was appointed Chief Executive Officer of the Company. Effective April 25, 2022, Dr. Toloue was also appointed to serve on the Company’s Board as a Class II director, with a term ending at the 2022 annual meeting of stockholders and will continue to serve as the Company’s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2021, filed with the Securities and Exchange Commission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2021 as may be updated by “Part II, Item 1A, Risk Factors” of our subsequently filed Quarterly Reports on Form 10-Q.</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spacing w:after="0" w:line="17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2019, and by the end of 2021, approximately 68% of the HD instrument installed base was HD-X instruments.</w:t>
      </w:r>
    </w:p>
    <w:p>
      <w:pPr>
        <w:spacing w:after="0" w:line="19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1,700 projects for approximately 400 customers from all over the world using our Simoa platforms.</w:t>
      </w:r>
    </w:p>
    <w:p>
      <w:pPr>
        <w:spacing w:after="0" w:line="180"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 Zealand, Qatar, Saudi Arabia, Singapore, South Africa, South Korea, Taiwan, and UAE. In addition, Uman sells Nf-L</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antibodies and Nf-L ELISA kits directly, and in conjunction with us and another distributor worldwide. We have an extensive base of customers in world class academic and governmental research institutions, as well as pharmaceutical, biotechnology and contract research companies.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we entered into a Master Collaboration Agreement with Eli Lilly and Company (Lilly) establishing a framework for future projects focused on the development of Simoa immunoassays (the Lilly Collaboration Agreement). We also entered into a Statement of Work under the Lilly Collaboration Agreement to perform assay research and development services within the field of Alzheimer’s disease. In connection with the Lilly Collaboration Agreement, we received a non-refundable up-front payment of $5.0 million during the three months ended March 31, 2022, and under the Statement of Work receive $1.5 million per calendar quarter during 2022, beginning with the three months ended March 31, 2022. The revenue will be recognized over a one-year period.</w:t>
      </w:r>
    </w:p>
    <w:p>
      <w:pPr>
        <w:spacing w:after="0" w:line="18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we entered into a Technology License Agreement (the Lilly License) under which Lilly granted to us a non-exclusive license to Lilly’s proprietary P-tau217 antibody technology for potential near-term use in research use only products and services and future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applications within the field of Alzheimer’s disease. In consideration of the license, we paid an upfront fee, are required to make milestone payments based on the achievement of predetermined regulatory and commercial events, and will pay a royalty on net sales of licensed products.</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concluded that the Lilly Collaboration Agreement and the Lilly License represented a single contract with a customer and are accounting for the agreements as service revenue recognized over time as the services are delivered. The transaction price for the Lilly Collaboration Agreement is $10.9 million. Contingent amounts due to Lilly represent variable consideration payable to a customer and will be recognized as reductions to service revenue up to the amount of the transaction price recognized, when probable. We are utilizing an input method to measure the delivery of services by calculating costs incurred at each period end relative to total costs expected to be incurred.</w:t>
      </w:r>
    </w:p>
    <w:p>
      <w:pPr>
        <w:spacing w:after="0" w:line="18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recognized approximately $2.7 million of revenue from the Lilly Collaboration Agreement as service revenue.</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September 29, 2020, we entered the Abbott License Agreement with Abbott. Pursuant to the terms of the Abbott License Agreement, we granted Abbott a non-exclusive, worldwide, royalty-bearing license, without the right to sublicense, under our bead-based single molecule detection patents in the field of IVD. Abbott paid an initial license fee of $10.0 million in connection with the execution of the Abbott License Agreement, which was recognized as license revenue for the year ended December 31, 2020. Abbott has also agreed to pay us milestone fees subject to the achievement by Abbott of certain development, regulatory and commercialization milestones and low single digit royalties on net sales of licensed products.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view of the COVID-19 pandemic, in 2020 we began developing a SARS-CoV-2 antibody test (the “Antibody Test”) and a SARS-CoV-2 antigen test (the “Antigen Test”) for our HD-X instrument. The FDA issued EUAs for the Antibody Test and the Antigen Test in December 2020 and January 2021, respectively. In September 2021, the FDA expanded the EUA label for the Antigen Test to include testing with nasal swabs and saliva and for asymptomatic serial testing with nasal swab samples. In May 2022, we </w:t>
      </w:r>
      <w:r>
        <w:rPr>
          <w:rFonts w:ascii="Times New Roman" w:cs="Times New Roman" w:eastAsia="Times New Roman" w:hAnsi="Times New Roman"/>
          <w:sz w:val="18"/>
          <w:szCs w:val="18"/>
          <w:color w:val="222222"/>
        </w:rPr>
        <w:t>submitted a request to the FDA to voluntarily withdraw the EUA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each of these tests as we no longer intend to market the EUA version of the tests. This decision was </w:t>
      </w:r>
      <w:r>
        <w:rPr>
          <w:rFonts w:ascii="Times New Roman" w:cs="Times New Roman" w:eastAsia="Times New Roman" w:hAnsi="Times New Roman"/>
          <w:sz w:val="18"/>
          <w:szCs w:val="18"/>
          <w:color w:val="000000"/>
        </w:rPr>
        <w:t>made in recognition of</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the changing testing dynamics of the COVID-19 pandemic. Our tests are optimized for use in central laboratory testing environments that process samples in high volume. As the health crisis transitions from the pandemic to endemic phase, public health policy has shifted to prioritize more routine use of low-cost, rapid antigen tests. Additionally, a substantial majority of revenue from our COVID-19 test portfolio has been from the RUO-labeled versions of these tests, which </w:t>
      </w:r>
      <w:r>
        <w:rPr>
          <w:rFonts w:ascii="Times New Roman" w:cs="Times New Roman" w:eastAsia="Times New Roman" w:hAnsi="Times New Roman"/>
          <w:sz w:val="18"/>
          <w:szCs w:val="18"/>
          <w:color w:val="222222"/>
        </w:rPr>
        <w:t>continue to be utilized in research and clinical settings. We intend to continue to commercialize the RUO-labeled tests.</w:t>
      </w:r>
    </w:p>
    <w:p>
      <w:pPr>
        <w:spacing w:after="0" w:line="19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 September 2020, we entered into WP2 with the NIH under the RADx program. This contract, which had a total award value of up to $18.2 million, was intended to accelerate the continued development, scale-up and deployment of the Antigen Test, in particular to expand assay kit manufacturing capacity and commercial deployment readiness.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Contract funding was subject to the achievement of pre-defined milestones and the contract period ran through September 2021, with one milestone extended to May 31, 2022. As of March 31, 2022, we had received $17.7 million out of the full $18.2 million under WP2, and in May 2022 we received the final $0.5 million. Performance under the RADx WP2 contract is now complete.</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ongoing uncertainty concerning the COVID-19 pandemic, including its length and severity and its effect on our business. In 2020, we saw an impact on instrument revenue due to limitations on our ability to access certain customer sites and complete instrument installations, as well as an impact on consumables revenue from interruptions in certain customer laboratories through the first quarter of 2021. As customers began returning to normal operations in the second quarter of 2021, we have seen less of an impact related to COVID-19 related shutdowns. However, we expect COVID-19 related challenges to continue for the foreseeable future and potentially increase if variants result in new shutdowns.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COVID-19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this Annual Report on Form 10-K. We will continue to evaluate the nature and extent of the impact to our business, financial condition, and operating results.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2022, we had cash and cash equivalents of $376.9 million. Since inception, we have incurred annual net losses. Our net loss was $57.7 million, $31.5 million, and $40.8 million for the years ended December 31, 2021, 2020, and 2019, respectively, and $18.2 million and $10.1 million for the three months ended March 31, 2022 and 2021, respectively. As of March 31, 2022, we had an accumulated deficit of $323.6 million and stockholders' equity of $426.4 million. We expect to continue to incur significant expenses and operating losses at least through the next 24 months. We expect our expenses will increase substantially as we:</w:t>
      </w:r>
    </w:p>
    <w:p>
      <w:pPr>
        <w:spacing w:after="0" w:line="187" w:lineRule="exact"/>
        <w:rPr>
          <w:sz w:val="20"/>
          <w:szCs w:val="20"/>
          <w:color w:val="auto"/>
        </w:rPr>
      </w:pPr>
    </w:p>
    <w:p>
      <w:pPr>
        <w:ind w:left="1040" w:hanging="315"/>
        <w:spacing w:after="0"/>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companies or technologies that may be complementary to our business;</w:t>
      </w:r>
    </w:p>
    <w:p>
      <w:pPr>
        <w:spacing w:after="0" w:line="9"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products and develop and launch new products, particularly if any of our products are deemed by the FDA to be medical devices or otherwise subject to additional regulation by the FDA;</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PMA or 510(k) clearance from the FDA for our existing products or new products if or when we decide to market products for use in the prevention, diagnosis or treatment of a disease or other condition;</w:t>
      </w:r>
    </w:p>
    <w:p>
      <w:pPr>
        <w:ind w:left="1040" w:hanging="315"/>
        <w:spacing w:after="0"/>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 continue to grow our employee headcount;</w:t>
      </w:r>
    </w:p>
    <w:p>
      <w:pPr>
        <w:spacing w:after="0" w:line="9"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 arrangements or in-license other products and technologies;</w:t>
      </w:r>
    </w:p>
    <w:p>
      <w:pPr>
        <w:spacing w:after="0" w:line="22"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w:t>
      </w:r>
    </w:p>
    <w:p>
      <w:pPr>
        <w:spacing w:after="0" w:line="9"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March 31, 2021 (dollars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80" w:type="dxa"/>
            <w:vAlign w:val="bottom"/>
            <w:tcBorders>
              <w:bottom w:val="single" w:sz="8" w:color="auto"/>
            </w:tcBorders>
          </w:tcPr>
          <w:p>
            <w:pPr>
              <w:spacing w:after="0"/>
              <w:rPr>
                <w:sz w:val="15"/>
                <w:szCs w:val="15"/>
                <w:color w:val="auto"/>
              </w:rPr>
            </w:pPr>
          </w:p>
        </w:tc>
      </w:tr>
      <w:tr>
        <w:trPr>
          <w:trHeight w:val="142"/>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2"/>
                <w:szCs w:val="12"/>
                <w:color w:val="auto"/>
              </w:rPr>
            </w:pPr>
          </w:p>
        </w:tc>
        <w:tc>
          <w:tcPr>
            <w:tcW w:w="8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r>
      <w:tr>
        <w:trPr>
          <w:trHeight w:val="209"/>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(2,291)</w:t>
            </w: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10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20" w:type="dxa"/>
            <w:vAlign w:val="bottom"/>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374 %</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0" w:type="dxa"/>
            <w:vAlign w:val="bottom"/>
            <w:tcBorders>
              <w:bottom w:val="single" w:sz="8" w:color="auto"/>
            </w:tcBorders>
          </w:tcPr>
          <w:p>
            <w:pPr>
              <w:spacing w:after="0"/>
              <w:rPr>
                <w:sz w:val="18"/>
                <w:szCs w:val="18"/>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239" w:firstLine="648"/>
        <w:spacing w:after="0" w:line="272" w:lineRule="auto"/>
        <w:rPr>
          <w:sz w:val="20"/>
          <w:szCs w:val="20"/>
          <w:color w:val="auto"/>
        </w:rPr>
      </w:pPr>
      <w:r>
        <w:rPr>
          <w:rFonts w:ascii="Times New Roman" w:cs="Times New Roman" w:eastAsia="Times New Roman" w:hAnsi="Times New Roman"/>
          <w:sz w:val="17"/>
          <w:szCs w:val="17"/>
          <w:color w:val="auto"/>
        </w:rPr>
        <w:t>Total revenue increased by $2.3 million, or 9%, to $29.6 million for the three months ended March 31, 2022, as compared to $27.2 million for the three months ended March 31, 2021. Product revenue consisted of sales of instruments totaling $6.2 million and sales of consumables and other products of $14.2 million for the three months ended</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March 31, 2022. Product revenue primarily consisted of instrument sales totaling $7.0 million and sales of consumables and other products of $11.3 million for the three months ended March 31, 2021. The increase in product revenue of $2.4 million in the first quarter of 2022 was due to the increase in consumable sales year over year, partially offset by a decline in instrument sales. The increase in service and other revenue was due to the $2.7 million of revenue recognized from the Lilly Collaboration Agreement during the three months ended March 31, 2022. Our collaboration and license revenue during both periods was mainly related to licensing technology and intellectual property. Grant revenue of $2.3 million for the three months ended March 31, 2021 consisted of revenue related to WP2. We did not have any grant revenue during the three months ended March 31, 2022.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Services, and Licenses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product revenue increased by $3.3 million, or 44%, to $10.7 million the three months ended</w:t>
      </w:r>
    </w:p>
    <w:p>
      <w:pPr>
        <w:spacing w:after="0" w:line="27"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March 31, 2022, as compared to $7.5 million for the three months ended March 31, 2021. The increase was primarily due to inefficiencies in our manufacturing and inventory management processes resulting in higher excess and obsolete product during the quarter. Accordingly, we changed our estimate for excess and obsolete product during the three months ended March 31, 2022, increasing our reserve. Cost of service revenue increased to $4.3 million the three months ended</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 xml:space="preserve">March 31, 2022, as compared to $3.4 million for the three months ended March 31, 2021, primarily due to our increased service revenue. Overall, cost of goods sold as a percentage of revenue increased to 51% of total revenue the three months ended March 31, 2022, as compared to 40% for the three months ended March 31, 2021. </w:t>
      </w:r>
      <w:r>
        <w:rPr>
          <w:rFonts w:ascii="Times New Roman" w:cs="Times New Roman" w:eastAsia="Times New Roman" w:hAnsi="Times New Roman"/>
          <w:sz w:val="18"/>
          <w:szCs w:val="18"/>
          <w:color w:val="202124"/>
        </w:rPr>
        <w:t>This was a result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inefficiencies in our manufacturing and inventory management processes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$0.4 million, or 5%, for the three months ended March 31, 2022, as compared to the same period in 2021, primarily due to additional headcount in research and development as we scale our organization and invest in process improvements.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$6.3 million, or 32%, for the three months ended March 31, 2022, as compared to the same period in 2021, mainly due to additional headcount as we scale our organization and discretionary spending increases.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jc w:val="both"/>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Interest income (expense), net increased to income of $0.1 million for the three months ended March 31, 2022, as compared to an expense of $0.2 million in the same period in 2021, due to maturity of the Company’s note payable in the fourth quarter of 2021 and higher interest income on our cash equivalents during the three months ended March 31, 2022.</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Other expense, net was consistent at $0.2 million in both periods presented and mainly consisted of the impact of foreign currency exchange rates.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$0.2 million for the three months ended March 31, 2022 and less than $0.1 million for the three months ended March 31, 2021 consisting primarily of provisions recorded on the operating results of our foreign subsidiaries.</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equity offerings, borrowings from credit facilities and revenue from our commercial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cash flows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273,313</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261,659</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invest in process improvements. We have historically experienced negative cash flows from operating activities as we have developed our technology, expanded our business and built our infrastructure and this may continue in the future.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$21.7 million during the three months ended March 31, 2022. The net cash used in operating activities primarily consisted of the net loss of $18.2 million offset by non-cash charges of $3.8 million of stock-based compensation expense and $1.4 million of depreciation and amortization expense. Cash used as a result of changes in operating assets and liabilities of $8.9 million was primarily due to a decrease in accounts payable of $5.3 million and a decrease in accrued compensation and benefits, other accrued expenses and other current liabilities of $4.9 million offset by an increase in deferred revenue of $3.0 million.</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$14.1 million during the three months ended March 31, 2021. The net cash used in operating activities primarily consisted of the net loss of $10.1 million offset by non-cash charges of $3.4 million of stock-based compensation expense and $1.2 million of depreciation and amortization expense. Cash used as a result of changes in operating assets and liabilities of $8.9 million was primarily due to a decrease in accrued compensation and benefits, other accrued expenses and other current liabilities of $5.6 million, and an increase in inventory of $2.3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229"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used $0.9 million of cash during the three months ended March 31, 2022 primarily related to purchases of property and equipment.</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provided $2.4 million of cash during the three months ended March 31, 2021 primarily related to $2.5 million in grant proceeds related to WP2.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sales of our stock, borrowings from credit facilities, and revenues from our commercial operations.</w:t>
      </w:r>
    </w:p>
    <w:p>
      <w:pPr>
        <w:spacing w:after="0" w:line="162"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Financing activities provided $1.0 million of cash during the three months ended March 31, 2022, mainly from proceeds from employee stock purchases and stock option exercises.</w:t>
      </w:r>
    </w:p>
    <w:p>
      <w:pPr>
        <w:spacing w:after="0" w:line="16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$273.3 million of cash during the three months ended March 31, 2021, primarily from $269.7 million in net proceeds from our underwritten public offering during the first quarter of 2021, and $3.1 million in proceeds from common stock option exercises.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7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Other than the third quarter of 2020, since inception, we have incurred net losses, and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2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Factors" of our Annual Report on Form 10-K for the year ended December 31, 2021 We have based our estimates on assumptions that may prove to be wrong and we could utilize our available capital resources sooner than we currently expect. Our future funding requirements will depend on many factors, including:</w:t>
      </w:r>
    </w:p>
    <w:p>
      <w:pPr>
        <w:spacing w:after="0" w:line="216" w:lineRule="exact"/>
        <w:rPr>
          <w:sz w:val="20"/>
          <w:szCs w:val="20"/>
          <w:color w:val="auto"/>
        </w:rPr>
      </w:pP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7"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in the future, and the success of any such collaborations;</w:t>
      </w:r>
    </w:p>
    <w:p>
      <w:pPr>
        <w:spacing w:after="0" w:line="9" w:lineRule="exact"/>
        <w:rPr>
          <w:rFonts w:ascii="Times New Roman" w:cs="Times New Roman" w:eastAsia="Times New Roman" w:hAnsi="Times New Roman"/>
          <w:sz w:val="18"/>
          <w:szCs w:val="18"/>
          <w:color w:val="auto"/>
        </w:rPr>
      </w:pPr>
    </w:p>
    <w:p>
      <w:pPr>
        <w:ind w:left="1380" w:right="179" w:hanging="655"/>
        <w:spacing w:after="0" w:line="250"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except for the Bedford, Massachusetts lease detailed in Note 10, there have been no material changes to our contractual obligations and commitments from those described under “Management’s Discussion and Analysis of Financial Condition and Results of Operations” included in our Annual Report on Form 10-K for the year ended December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Significant Judgments and Estimates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under “Management’s Discussion and Analysis of Financial Condition and Results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Operations—Critical Accounting Policies, Significant Judgments and Estimates” included in our Annual Report on Form 10-K for the year ended December 31, 2021.</w:t>
      </w:r>
    </w:p>
    <w:p>
      <w:pPr>
        <w:spacing w:after="0" w:line="162"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therein, with the exception of our adoption of recent accounting pronouncements, as discussed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unaudited condensed consolidated financial statements included in the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At March 31, 2022, there have been no material changes to the market risk information described under “Quantitative and Qualitative Disclosures About Market Risk” included in the Annual Report on Form 10-K for the year ended December 31,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2022. The term “disclosure controls and procedures,” as defined in Rules 13a-15(e) and 15d-15(e) under the Securities and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w:t>
      </w:r>
    </w:p>
    <w:p>
      <w:pPr>
        <w:spacing w:after="0" w:line="187"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2022, our principal executive officer and principal financial officer concluded that, as of such date, the Company’s disclosure controls and procedures were effective at the reasonable assurance level.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Annual Report on Form 10-K for the year ended December 31, 2021, filed with the SEC on March 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 herein</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7"/>
                <w:szCs w:val="17"/>
                <w:color w:val="auto"/>
              </w:rPr>
            </w:pPr>
          </w:p>
        </w:tc>
        <w:tc>
          <w:tcPr>
            <w:tcW w:w="3280" w:type="dxa"/>
            <w:vAlign w:val="bottom"/>
            <w:gridSpan w:val="16"/>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6"/>
                <w:szCs w:val="16"/>
                <w:color w:val="auto"/>
              </w:rPr>
            </w:pPr>
          </w:p>
        </w:tc>
        <w:tc>
          <w:tcPr>
            <w:tcW w:w="3280" w:type="dxa"/>
            <w:vAlign w:val="bottom"/>
            <w:gridSpan w:val="16"/>
            <w:vMerge w:val="continue"/>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960" w:type="dxa"/>
            <w:vAlign w:val="bottom"/>
            <w:gridSpan w:val="2"/>
            <w:vMerge w:val="continue"/>
          </w:tcPr>
          <w:p>
            <w:pPr>
              <w:spacing w:after="0"/>
              <w:rPr>
                <w:sz w:val="16"/>
                <w:szCs w:val="16"/>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7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6"/>
                <w:szCs w:val="16"/>
                <w:color w:val="auto"/>
              </w:rPr>
            </w:pPr>
          </w:p>
        </w:tc>
        <w:tc>
          <w:tcPr>
            <w:tcW w:w="3600" w:type="dxa"/>
            <w:vAlign w:val="bottom"/>
            <w:tcBorders>
              <w:top w:val="single" w:sz="8" w:color="auto"/>
              <w:bottom w:val="single" w:sz="8" w:color="0000EE"/>
            </w:tcBorders>
            <w:gridSpan w:val="11"/>
          </w:tcPr>
          <w:p>
            <w:pPr>
              <w:spacing w:after="0" w:line="188"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Lease Agreement, dated January 28, 2022, by and</w:t>
              </w:r>
            </w:hyperlink>
          </w:p>
        </w:tc>
        <w:tc>
          <w:tcPr>
            <w:tcW w:w="200" w:type="dxa"/>
            <w:vAlign w:val="bottom"/>
            <w:tcBorders>
              <w:top w:val="single" w:sz="8" w:color="auto"/>
            </w:tcBorders>
            <w:gridSpan w:val="5"/>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40" w:type="dxa"/>
            <w:vAlign w:val="bottom"/>
          </w:tcPr>
          <w:p>
            <w:pPr>
              <w:spacing w:after="0"/>
              <w:rPr>
                <w:sz w:val="16"/>
                <w:szCs w:val="16"/>
                <w:color w:val="auto"/>
              </w:rPr>
            </w:pPr>
          </w:p>
        </w:tc>
        <w:tc>
          <w:tcPr>
            <w:tcW w:w="9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1/31/2022</w:t>
            </w:r>
          </w:p>
        </w:tc>
        <w:tc>
          <w:tcPr>
            <w:tcW w:w="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001-38319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between the Company and Xchange Owner LLC.</w:t>
              </w:r>
            </w:hyperlink>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3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Employment Agreement, dated June 22, 2021, by</w:t>
              </w:r>
            </w:hyperlink>
          </w:p>
        </w:tc>
        <w:tc>
          <w:tcPr>
            <w:tcW w:w="3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6/28/2021</w:t>
            </w:r>
          </w:p>
        </w:tc>
        <w:tc>
          <w:tcPr>
            <w:tcW w:w="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001-38319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the Registrant and Michael Doyle</w:t>
              </w:r>
            </w:hyperlink>
          </w:p>
        </w:tc>
        <w:tc>
          <w:tcPr>
            <w:tcW w:w="1440" w:type="dxa"/>
            <w:vAlign w:val="bottom"/>
            <w:gridSpan w:val="14"/>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3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Employment Agreement, dated May 10, 2021, by</w:t>
              </w:r>
            </w:hyperlink>
          </w:p>
        </w:tc>
        <w:tc>
          <w:tcPr>
            <w:tcW w:w="3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5/11/2021</w:t>
            </w:r>
          </w:p>
        </w:tc>
        <w:tc>
          <w:tcPr>
            <w:tcW w:w="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001-38319</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the Registrant and Dr. Masoud Toloue</w:t>
              </w:r>
            </w:hyperlink>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Third Amendment, dated September 25, 2020, to</w:t>
              </w:r>
            </w:hyperlink>
          </w:p>
        </w:tc>
        <w:tc>
          <w:tcPr>
            <w:tcW w:w="32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11/6/2020</w:t>
            </w:r>
          </w:p>
        </w:tc>
        <w:tc>
          <w:tcPr>
            <w:tcW w:w="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001-38319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the Exclusive License Agreement between the</w:t>
              </w:r>
            </w:hyperlink>
          </w:p>
        </w:tc>
        <w:tc>
          <w:tcPr>
            <w:tcW w:w="540" w:type="dxa"/>
            <w:vAlign w:val="bottom"/>
            <w:gridSpan w:val="10"/>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Registrant and Tufts University</w:t>
              </w:r>
            </w:hyperlink>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Separation Agreement dated November 11, 2021 by</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11/12/2021</w:t>
            </w:r>
          </w:p>
        </w:tc>
        <w:tc>
          <w:tcPr>
            <w:tcW w:w="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001-38319</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and between the Registrant and William Geist</w:t>
              </w:r>
            </w:hyperlink>
          </w:p>
        </w:tc>
        <w:tc>
          <w:tcPr>
            <w:tcW w:w="420" w:type="dxa"/>
            <w:vAlign w:val="bottom"/>
            <w:tcBorders>
              <w:top w:val="single" w:sz="8" w:color="0000EE"/>
            </w:tcBorders>
            <w:gridSpan w:val="8"/>
          </w:tcPr>
          <w:p>
            <w:pPr>
              <w:spacing w:after="0"/>
              <w:rPr>
                <w:sz w:val="20"/>
                <w:szCs w:val="20"/>
                <w:color w:val="auto"/>
              </w:rPr>
            </w:pPr>
          </w:p>
        </w:tc>
        <w:tc>
          <w:tcPr>
            <w:tcW w:w="140" w:type="dxa"/>
            <w:vAlign w:val="bottom"/>
            <w:gridSpan w:val="3"/>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w:t>
            </w:r>
          </w:p>
        </w:tc>
        <w:tc>
          <w:tcPr>
            <w:tcW w:w="480" w:type="dxa"/>
            <w:vAlign w:val="bottom"/>
            <w:gridSpan w:val="9"/>
          </w:tcPr>
          <w:p>
            <w:pPr>
              <w:spacing w:after="0"/>
              <w:rPr>
                <w:sz w:val="24"/>
                <w:szCs w:val="2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of 2002.</w:t>
            </w:r>
          </w:p>
        </w:tc>
        <w:tc>
          <w:tcPr>
            <w:tcW w:w="22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of 2002.</w:t>
            </w:r>
          </w:p>
        </w:tc>
        <w:tc>
          <w:tcPr>
            <w:tcW w:w="22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Principal Financial Officer pursuant to Section 906</w:t>
            </w:r>
          </w:p>
        </w:tc>
        <w:tc>
          <w:tcPr>
            <w:tcW w:w="80" w:type="dxa"/>
            <w:vAlign w:val="bottom"/>
            <w:tcBorders>
              <w:top w:val="single" w:sz="8" w:color="0000EE"/>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of the Sarbanes-Oxley Act of 2002.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hanging="650"/>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included herein solely to correct an incorrect hyperlink in our Annual Report on Form 10-K for the year ended December 31,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6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2022</w:t>
            </w:r>
          </w:p>
        </w:tc>
        <w:tc>
          <w:tcPr>
            <w:tcW w:w="56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Masoud Toloue</w:t>
            </w:r>
          </w:p>
        </w:tc>
      </w:tr>
      <w:tr>
        <w:trPr>
          <w:trHeight w:val="191"/>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2022</w:t>
            </w:r>
          </w:p>
        </w:tc>
        <w:tc>
          <w:tcPr>
            <w:tcW w:w="56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Michael A. Doyle</w:t>
            </w:r>
          </w:p>
        </w:tc>
      </w:tr>
      <w:tr>
        <w:trPr>
          <w:trHeight w:val="191"/>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Masoud Toloue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Doyle, certify that:</w:t>
      </w:r>
    </w:p>
    <w:p>
      <w:pPr>
        <w:spacing w:after="0" w:line="22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 Doyle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March 31,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May 10,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Masoud Toloue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May 10,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Doyle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5" Type="http://schemas.openxmlformats.org/officeDocument/2006/relationships/hyperlink" Target="https://www.sec.gov/Archives/edgar/data/1503274/000110465922009514/tm2135533d1_ex10-1.htm" TargetMode="External"/><Relationship Id="rId56" Type="http://schemas.openxmlformats.org/officeDocument/2006/relationships/hyperlink" Target="https://www.sec.gov/Archives/edgar/data/1503274/000110465921086268/tm2120806d1_ex10-1.htm" TargetMode="External"/><Relationship Id="rId57" Type="http://schemas.openxmlformats.org/officeDocument/2006/relationships/hyperlink" Target="https://www.sec.gov/Archives/edgar/data/1503274/000110465921064322/tm2115832d1_ex10-1.htm" TargetMode="External"/><Relationship Id="rId58" Type="http://schemas.openxmlformats.org/officeDocument/2006/relationships/hyperlink" Target="https://www.sec.gov/Archives/edgar/data/1503274/000155837020013107/tmb-20200930xex10d2.htm" TargetMode="External"/><Relationship Id="rId59" Type="http://schemas.openxmlformats.org/officeDocument/2006/relationships/hyperlink" Target="https://www.sec.gov/Archives/edgar/data/1503274/000110465921138160/tm21325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2022-05-10T15:59:06Z</dcterms:created>
  <dcterms:modified xsi:type="dcterms:W3CDTF">2022-05-10T15:59:06Z</dcterms:modified>
</cp:coreProperties>
</file>