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37,442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37,417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37,553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37,512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37,606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37,978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38,701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38,452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6, 2023, the reporting person was granted 3,929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15, 2023, the reporting person was granted 6,566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2, 2024, the reporting person was granted 6,494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May 21, 2024, the reporting person was granted 17,878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February 4, 2025, the reporting person was granted 40,036 restricted stock units, vesting 25% on the first anniversary of the grant date, with the remaining 75% vesting in 36 equal monthly installments on the 15th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Lanieri,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943</Words>
  <Characters>4868</Characters>
  <CharactersWithSpaces>5605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