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Mendel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stock granted in lieu of cash fees for service on the Company's Board of Directors and committees thereof for the second quarter of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smendelpoaupdate.txt"/>
      <w:bookmarkStart w:id="3" w:name="kssmendelpoaupdate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Daniel Char, Michael Lanieri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Meghan Shevlin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 beneficial owner of Quanterix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(the "Company"), Forms 3, 4, and 5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Securities Exchange Act of 1934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 and Schedules 13D and 13G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13 of the Securities Exchange Act of 1934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 or Schedules 13D or 13G,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amendment or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timely file such form with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and any securities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also ratifies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any action previously taken by each attorney-in-fact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have been authorized by this power of attorney if it has been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effect at the time such action was taken.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each foregoing attorney-in-fact,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is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 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Sections 13 and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superseded all previously granted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of attorney relating to the execution of the forms and schedules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described in paragraph (1) above. This Power of Attorney shall remain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full force and effect until the undersigned is no longer required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Forms 3, 4, and 5 and Schedules 13D and 13G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each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8th day of June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Scott Mendel</w:t>
      </w:r>
    </w:p>
    <w:p>
      <w:pPr>
        <w:pStyle w:val="PreformattedText"/>
        <w:bidi w:val="0"/>
        <w:spacing w:before="0" w:after="0"/>
        <w:jc w:val="left"/>
        <w:rPr/>
      </w:pPr>
      <w:r>
        <w:rPr/>
        <w:t>Scott Mendel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051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1120</Words>
  <Characters>5918</Characters>
  <CharactersWithSpaces>6964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