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Gute James Edward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QUANTERIX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MIDDLESEX TURNPIKE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BILLERICA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Quanterix Corp</w:t>
              </w:r>
            </w:hyperlink>
            <w:r>
              <w:rPr/>
              <w:t xml:space="preserve"> [ </w:t>
            </w:r>
            <w:r>
              <w:rPr>
                <w:rFonts w:ascii="Times;serif" w:hAnsi="Times;serif"/>
                <w:color w:val="0000FF"/>
                <w:sz w:val="24"/>
                <w:shd w:fill="FFFFFF" w:val="clear"/>
              </w:rPr>
              <w:t>QTRX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260,315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260,315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260,315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15, 2026, the reporting person was granted 260,315 restricted stock units. The RSUs vest in four equal annual installments on the first four anniversaries of the grant date, subject to the reporting person's continued employment with the issuer or one of its subsidiaries through the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Lanieri,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276" TargetMode="External"/><Relationship Id="rId5" Type="http://schemas.openxmlformats.org/officeDocument/2006/relationships/hyperlink" Target="http://www.sec.gov/cgi-bin/browse-edgar?action=getcompany&amp;CIK=00015032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3409</Characters>
  <CharactersWithSpaces>3958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