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Faessler Jason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QUANTERIX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MIDDLESEX TURNPIKE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BILLERICA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Quanterix Corp</w:t>
              </w:r>
            </w:hyperlink>
            <w:r>
              <w:rPr/>
              <w:t xml:space="preserve"> [ </w:t>
            </w:r>
            <w:r>
              <w:rPr>
                <w:rFonts w:ascii="Times;serif" w:hAnsi="Times;serif"/>
                <w:color w:val="0000FF"/>
                <w:sz w:val="24"/>
                <w:shd w:fill="FFFFFF" w:val="clear"/>
              </w:rPr>
              <w:t>QTRX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141,820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141,820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15, 2026, the reporting person was granted 141,820 restricted stock units. The RSUs vest in four equal annual installments on the first four anniversaries of the grant date, subject to the reporting person's continued employment with the issuer or one of its subsidiaries through the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Shevlin,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1457" TargetMode="External"/><Relationship Id="rId5" Type="http://schemas.openxmlformats.org/officeDocument/2006/relationships/hyperlink" Target="http://www.sec.gov/cgi-bin/browse-edgar?action=getcompany&amp;CIK=00015032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3379</Characters>
  <CharactersWithSpaces>3935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