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filed with the Securities and Exchange Commission on September 10, 2026</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Registration No. 333-_____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S-8</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REGISTRATION STATEMENT UNDER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ACT OF 1933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QUANTERIX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7181" w:type="dxa"/>
        <w:jc w:val="left"/>
        <w:tblInd w:w="0" w:type="dxa"/>
        <w:tblLayout w:type="fixed"/>
        <w:tblCellMar>
          <w:top w:w="28" w:type="dxa"/>
          <w:left w:w="28" w:type="dxa"/>
          <w:bottom w:w="28" w:type="dxa"/>
          <w:right w:w="28" w:type="dxa"/>
        </w:tblCellMar>
      </w:tblPr>
      <w:tblGrid>
        <w:gridCol w:w="1383"/>
        <w:gridCol w:w="1215"/>
        <w:gridCol w:w="1227"/>
        <w:gridCol w:w="109"/>
        <w:gridCol w:w="109"/>
        <w:gridCol w:w="109"/>
        <w:gridCol w:w="884"/>
        <w:gridCol w:w="884"/>
        <w:gridCol w:w="1261"/>
      </w:tblGrid>
      <w:tr>
        <w:trPr/>
        <w:tc>
          <w:tcPr>
            <w:tcW w:w="138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20-8957988</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w:t>
              <w:br/>
              <w:t>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900 Middlesex Turnpike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Billerica, 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01821</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Amended and Restated 2025 Inducement Plan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(Full title of the plans)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Daniel S. Char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Legal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Quanterix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900 Middlesex Turnpike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Billerica, MA 01821</w:t>
      </w:r>
    </w:p>
    <w:p>
      <w:pPr>
        <w:pStyle w:val="TextBody"/>
        <w:bidi w:val="0"/>
        <w:spacing w:lineRule="auto" w:line="288" w:before="0" w:after="0"/>
        <w:jc w:val="center"/>
        <w:rPr/>
      </w:pPr>
      <w:r>
        <w:rPr>
          <w:rFonts w:ascii="Times New Roman;serif" w:hAnsi="Times New Roman;serif"/>
          <w:b/>
          <w:color w:val="000000"/>
          <w:sz w:val="20"/>
        </w:rPr>
        <w:t>(617) 301-9400</w:t>
        <w:br/>
      </w:r>
      <w:r>
        <w:rPr>
          <w:rFonts w:ascii="Times New Roman;serif" w:hAnsi="Times New Roman;serif"/>
          <w:b w:val="false"/>
          <w:color w:val="000000"/>
          <w:sz w:val="20"/>
        </w:rPr>
        <w:t>(Name, address and telephone number, including area code, of agent for service)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Copies to:</w:t>
      </w:r>
    </w:p>
    <w:p>
      <w:pPr>
        <w:pStyle w:val="TextBody"/>
        <w:bidi w:val="0"/>
        <w:spacing w:lineRule="auto" w:line="288" w:before="0" w:after="0"/>
        <w:jc w:val="left"/>
        <w:rPr>
          <w:color w:val="000000"/>
        </w:rPr>
      </w:pPr>
      <w:r>
        <w:rPr>
          <w:color w:val="000000"/>
        </w:rPr>
        <w:t> </w:t>
      </w:r>
    </w:p>
    <w:tbl>
      <w:tblPr>
        <w:tblW w:w="2399" w:type="dxa"/>
        <w:jc w:val="left"/>
        <w:tblInd w:w="0" w:type="dxa"/>
        <w:tblLayout w:type="fixed"/>
        <w:tblCellMar>
          <w:top w:w="28" w:type="dxa"/>
          <w:left w:w="28" w:type="dxa"/>
          <w:bottom w:w="28" w:type="dxa"/>
          <w:right w:w="28" w:type="dxa"/>
        </w:tblCellMar>
      </w:tblPr>
      <w:tblGrid>
        <w:gridCol w:w="768"/>
        <w:gridCol w:w="674"/>
        <w:gridCol w:w="957"/>
      </w:tblGrid>
      <w:tr>
        <w:trPr/>
        <w:tc>
          <w:tcPr>
            <w:tcW w:w="7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David H. Engvall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Covington &amp; Burling LLP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One City Center</w:t>
              <w:br/>
              <w:t>850 Tenth Street, N.W.</w:t>
              <w:br/>
              <w:t>Washington, D.C. 20001</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 662-6000</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24" w:type="dxa"/>
        <w:jc w:val="left"/>
        <w:tblInd w:w="0" w:type="dxa"/>
        <w:tblLayout w:type="fixed"/>
        <w:tblCellMar>
          <w:top w:w="28" w:type="dxa"/>
          <w:left w:w="28" w:type="dxa"/>
          <w:bottom w:w="28" w:type="dxa"/>
          <w:right w:w="28" w:type="dxa"/>
        </w:tblCellMar>
      </w:tblPr>
      <w:tblGrid>
        <w:gridCol w:w="776"/>
        <w:gridCol w:w="683"/>
        <w:gridCol w:w="685"/>
        <w:gridCol w:w="755"/>
        <w:gridCol w:w="755"/>
        <w:gridCol w:w="1070"/>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Large accelerated filer </w:t>
            </w:r>
            <w:r>
              <w:rPr>
                <w:rFonts w:ascii="Wingdings;sans-serif" w:hAnsi="Wingdings;sans-serif"/>
                <w:b w:val="false"/>
                <w:color w:val="000000"/>
                <w:sz w:val="20"/>
              </w:rPr>
              <w:t>o</w:t>
            </w:r>
          </w:p>
        </w:tc>
        <w:tc>
          <w:tcPr>
            <w:tcW w:w="258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Accelerated filer </w:t>
            </w:r>
            <w:r>
              <w:rPr>
                <w:rFonts w:ascii="Wingdings;sans-serif" w:hAnsi="Wingdings;sans-serif"/>
                <w:b w:val="false"/>
                <w:color w:val="000000"/>
                <w:sz w:val="20"/>
              </w:rPr>
              <w:t>x</w:t>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Non-accelerated filer </w:t>
            </w:r>
            <w:r>
              <w:rPr>
                <w:rFonts w:ascii="Wingdings;sans-serif" w:hAnsi="Wingdings;sans-serif"/>
                <w:b w:val="false"/>
                <w:color w:val="000000"/>
                <w:sz w:val="20"/>
              </w:rPr>
              <w:t>o</w:t>
            </w:r>
          </w:p>
        </w:tc>
        <w:tc>
          <w:tcPr>
            <w:tcW w:w="258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Smaller reporting company </w:t>
            </w:r>
            <w:r>
              <w:rPr>
                <w:rFonts w:ascii="Wingdings;sans-serif" w:hAnsi="Wingdings;sans-serif"/>
                <w:b w:val="false"/>
                <w:color w:val="000000"/>
                <w:sz w:val="20"/>
              </w:rPr>
              <w:t>o</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6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20, 2025, the Board of Directors (the “Board”) of Quanterix Corporation (“Quanterix” or the “Registrant”) adopted the 2025 Inducement Plan. Such plan was amended and restated by the Board on January 8, 2026 and further amended and restated by the Board on September 4, 2026, pursuant to the Amended and Restated 2025 Inducement Plan (as amended and restated to date, the “Inducement Plan”). The Inducement Plan was adopted and amended and restated without stockholder approval pursuant to Nasdaq Listing Rule 5635(c)(4). </w:t>
      </w:r>
    </w:p>
    <w:p>
      <w:pPr>
        <w:pStyle w:val="TextBody"/>
        <w:bidi w:val="0"/>
        <w:spacing w:lineRule="auto" w:line="26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total of 2,893,465 shares of Quanterix common stock, par value $0.001 per share (“Common Stock”), were previously reserved for issuance under the Inducement Plan and on September 4, 2026, the Board approved an increase of an additional 415,000 shares of Common Stock to the reserve under the Inducement Plan.</w:t>
      </w:r>
    </w:p>
    <w:p>
      <w:pPr>
        <w:pStyle w:val="TextBody"/>
        <w:bidi w:val="0"/>
        <w:spacing w:lineRule="auto" w:line="26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only persons eligible to receive grants of nonqualified stock options, restricted stock unit awards and other stock-based awards under the Inducement Plan are individuals who satisfy the standards for inducement grants under Nasdaq Listing Rule 5635(c)(4).</w:t>
      </w:r>
    </w:p>
    <w:p>
      <w:pPr>
        <w:pStyle w:val="TextBody"/>
        <w:bidi w:val="0"/>
        <w:spacing w:lineRule="auto" w:line="26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filing this registration statement on Form S-8 (this “Registration Statement”) solely for the purpose of registering the 415,000 additional shares of Common Stock authorized for issuance under the Inducement Plan. Pursuant to Rule 416(a) under the Securities Act of 1933, as amended (the “Securities Act”), this Registration Statement also includes an indeterminate number of additional shares of Common Stock that may become issuable under the Inducement Plan by reason of anti-dilution and other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REGISTRATION OF ADDITIONAL SHARES PURSUANT TO GENERAL INSTRUCTION E</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General Instruction E of Form S-8, Quanterix is filing this Registration Statement with the Securities and Exchange Commission (the “Commission”) to register an additional 415,000 shares of its Common Stock under the Inducement Plan. The additional shares registered under the Inducement Plan are of the same class as other securities relating to the Inducement Plan for which the Registration Statement on Form S-8 (File No. 333-292362) filed with the Commission on December 22, 2025 is effective and for which the Registration Statement on Form S-8 (File No. 333-292759) filed with the Commission on January 15, 2026 is effective. Pursuant to General Instruction E of Form S-8 regarding Registration of Additional Securities, the contents of the Registration Statement on Form S-8 (File No. 333-292362) filed with the Commission on December 22, 2025 and the Registration Statement on Form S-8 (File No. 333-292759) filed with the Commission on January 15, 2026 are hereby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240"/>
        <w:jc w:val="center"/>
        <w:rPr/>
      </w:pPr>
      <w:r>
        <w:rPr>
          <w:color w:val="000000"/>
        </w:rPr>
        <w:t> </w:t>
      </w:r>
      <w:r>
        <w:rPr>
          <w:rFonts w:ascii="Times New Roman;serif" w:hAnsi="Times New Roman;serif"/>
          <w:b/>
          <w:color w:val="000000"/>
          <w:sz w:val="20"/>
        </w:rPr>
        <w:t>INFORMATION REQUIRED IN THE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Exhibits.</w:t>
      </w:r>
    </w:p>
    <w:tbl>
      <w:tblPr>
        <w:tblW w:w="10205" w:type="dxa"/>
        <w:jc w:val="left"/>
        <w:tblInd w:w="0" w:type="dxa"/>
        <w:tblLayout w:type="fixed"/>
        <w:tblCellMar>
          <w:top w:w="28" w:type="dxa"/>
          <w:left w:w="28" w:type="dxa"/>
          <w:bottom w:w="28" w:type="dxa"/>
          <w:right w:w="28" w:type="dxa"/>
        </w:tblCellMar>
      </w:tblPr>
      <w:tblGrid>
        <w:gridCol w:w="338"/>
        <w:gridCol w:w="297"/>
        <w:gridCol w:w="298"/>
        <w:gridCol w:w="2705"/>
        <w:gridCol w:w="2705"/>
        <w:gridCol w:w="3862"/>
      </w:tblGrid>
      <w:tr>
        <w:trPr/>
        <w:tc>
          <w:tcPr>
            <w:tcW w:w="3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3862" w:type="dxa"/>
            <w:tcBorders/>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9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2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Amended and Restated Certificate of Incorporation of the Registrant (incorporated herein by reference to Exhibit 3.1 of the Registrant’s Current Report on Form 8-K filed on October 2, 2025).</w:t>
              </w:r>
            </w:hyperlink>
          </w:p>
        </w:tc>
      </w:tr>
      <w:tr>
        <w:trPr/>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2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Restated Bylaws of the Registrant (incorporated herein by reference to Exhibit 3.2 of the Registrant’s Current Report on Form 8-K filed on October 2, 2025).</w:t>
              </w:r>
            </w:hyperlink>
          </w:p>
        </w:tc>
      </w:tr>
      <w:tr>
        <w:trPr/>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2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Form of Common Stock Certificate of the Registrant (incorporated herein by reference to Exhibit 4.1 of the Registrant’s Registration Statement on Form S-1 filed on November 9, 2017).</w:t>
              </w:r>
            </w:hyperlink>
          </w:p>
        </w:tc>
      </w:tr>
      <w:tr>
        <w:trPr/>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92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51-covingtonopinionandco.htm">
              <w:r>
                <w:rPr>
                  <w:rStyle w:val="InternetLink"/>
                  <w:rFonts w:ascii="Times New Roman;serif" w:hAnsi="Times New Roman;serif"/>
                  <w:b w:val="false"/>
                  <w:color w:val="0000FF"/>
                  <w:sz w:val="20"/>
                  <w:u w:val="single"/>
                </w:rPr>
                <w:t>Opinion of Covington and Burling LLP.</w:t>
              </w:r>
            </w:hyperlink>
          </w:p>
        </w:tc>
      </w:tr>
      <w:tr>
        <w:trPr/>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92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51-covingtonopinionandco.htm">
              <w:r>
                <w:rPr>
                  <w:rStyle w:val="InternetLink"/>
                  <w:rFonts w:ascii="Times New Roman;serif" w:hAnsi="Times New Roman;serif"/>
                  <w:b w:val="false"/>
                  <w:color w:val="0000FF"/>
                  <w:sz w:val="20"/>
                  <w:u w:val="single"/>
                </w:rPr>
                <w:t>Consent of Covington and Burling LLP (included in Exhibit 5.1).</w:t>
              </w:r>
            </w:hyperlink>
          </w:p>
        </w:tc>
      </w:tr>
      <w:tr>
        <w:trPr/>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92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232-consentofauditorkpmg.htm">
              <w:r>
                <w:rPr>
                  <w:rStyle w:val="InternetLink"/>
                  <w:rFonts w:ascii="Times New Roman;serif" w:hAnsi="Times New Roman;serif"/>
                  <w:b w:val="false"/>
                  <w:color w:val="0000FF"/>
                  <w:sz w:val="20"/>
                  <w:u w:val="single"/>
                </w:rPr>
                <w:t>Consent of KPMG LLP.</w:t>
              </w:r>
            </w:hyperlink>
          </w:p>
        </w:tc>
      </w:tr>
      <w:tr>
        <w:trPr/>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23.3*</w:t>
            </w:r>
          </w:p>
        </w:tc>
        <w:tc>
          <w:tcPr>
            <w:tcW w:w="92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233-consentofauditoreyse.htm">
              <w:r>
                <w:rPr>
                  <w:rStyle w:val="InternetLink"/>
                  <w:rFonts w:ascii="Times New Roman;serif" w:hAnsi="Times New Roman;serif"/>
                  <w:b w:val="false"/>
                  <w:color w:val="0000FF"/>
                  <w:sz w:val="20"/>
                  <w:u w:val="single"/>
                </w:rPr>
                <w:t>Consent of Ernst &amp; Young LLP.</w:t>
              </w:r>
            </w:hyperlink>
          </w:p>
        </w:tc>
      </w:tr>
      <w:tr>
        <w:trPr/>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92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fad1e9ed9f649729c3660625c0d9baa_19">
              <w:r>
                <w:rPr>
                  <w:rStyle w:val="InternetLink"/>
                  <w:rFonts w:ascii="Times New Roman;serif" w:hAnsi="Times New Roman;serif"/>
                  <w:b w:val="false"/>
                  <w:color w:val="0000FF"/>
                  <w:sz w:val="20"/>
                  <w:u w:val="single"/>
                </w:rPr>
                <w:t>Power of Attorney (included on the signature page of this Registration Statement).</w:t>
              </w:r>
            </w:hyperlink>
          </w:p>
        </w:tc>
      </w:tr>
      <w:tr>
        <w:trPr/>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2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991-amendedandrestated20.htm">
              <w:r>
                <w:rPr>
                  <w:rStyle w:val="InternetLink"/>
                  <w:rFonts w:ascii="Times New Roman;serif" w:hAnsi="Times New Roman;serif"/>
                  <w:b w:val="false"/>
                  <w:color w:val="0000FF"/>
                  <w:sz w:val="20"/>
                  <w:u w:val="single"/>
                </w:rPr>
                <w:t>Amended and Restated 2025 Inducement Plan</w:t>
              </w:r>
            </w:hyperlink>
          </w:p>
        </w:tc>
      </w:tr>
      <w:tr>
        <w:trPr/>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92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Form of Stock Option Agreement under the 2025 Inducement Plan (incorporated herein by reference to Exhibit 99.2 of the Registrant’s Form S-8 filed on December 22, 2025).</w:t>
              </w:r>
            </w:hyperlink>
          </w:p>
        </w:tc>
      </w:tr>
      <w:tr>
        <w:trPr/>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92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Form of Restricted Stock Unit Agreement under the 2025 Inducement Plan (incorporated herein by reference to Exhibit 99.3 of the Registrant’s Form S-8 filed on December 22, 2025).</w:t>
              </w:r>
            </w:hyperlink>
          </w:p>
        </w:tc>
      </w:tr>
      <w:tr>
        <w:trPr/>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92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filingfees.htm">
              <w:r>
                <w:rPr>
                  <w:rStyle w:val="InternetLink"/>
                  <w:rFonts w:ascii="Times New Roman;serif" w:hAnsi="Times New Roman;serif"/>
                  <w:b w:val="false"/>
                  <w:color w:val="0000FF"/>
                  <w:sz w:val="20"/>
                  <w:u w:val="single"/>
                </w:rPr>
                <w:t>Filing Fees Exhibit.</w:t>
              </w:r>
            </w:hyperlink>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 xml:space="preserve">The Registrant. </w:t>
      </w: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Billerica, Commonwealth of Massachusetts, on September 10, 2026.</w:t>
      </w:r>
    </w:p>
    <w:tbl>
      <w:tblPr>
        <w:tblW w:w="4871" w:type="dxa"/>
        <w:jc w:val="left"/>
        <w:tblInd w:w="0" w:type="dxa"/>
        <w:tblLayout w:type="fixed"/>
        <w:tblCellMar>
          <w:top w:w="28" w:type="dxa"/>
          <w:left w:w="28" w:type="dxa"/>
          <w:bottom w:w="28" w:type="dxa"/>
          <w:right w:w="28" w:type="dxa"/>
        </w:tblCellMar>
      </w:tblPr>
      <w:tblGrid>
        <w:gridCol w:w="124"/>
        <w:gridCol w:w="109"/>
        <w:gridCol w:w="109"/>
        <w:gridCol w:w="415"/>
        <w:gridCol w:w="415"/>
        <w:gridCol w:w="415"/>
        <w:gridCol w:w="959"/>
        <w:gridCol w:w="959"/>
        <w:gridCol w:w="13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QUANTERIX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Everett Cunningham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Everett Cunningham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President and Chief Executive Officer </w:t>
            </w:r>
          </w:p>
        </w:tc>
      </w:tr>
    </w:tbl>
    <w:p>
      <w:pPr>
        <w:pStyle w:val="TextBody"/>
        <w:bidi w:val="0"/>
        <w:spacing w:lineRule="auto" w:line="288" w:before="0" w:after="24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 AND POWER OF ATTORNEY</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of the directors and officers of Quanterix Corporation whose signature appears below hereby severally constitutes and appoints Everett Cunningham, Jason Faessler, and Daniel Char and each of them singly, their true and lawful attorneys-in-fact and agents, with full power of substitution and resubstitution in each of them singly, for them and in their name, place and stead, and in any and all capacities, to sign any and all amendments (including post-effective amendments) to this Registration Statement on Form S-8 of Quanterix Corporation, and to file the same, with all exhibits thereto and other documents in connection therewith, with the Securities and Exchange Commission, granting to said attorneys-in-fact and agents, and each of them, full power and authority to do and perform each and every act and thing requisite or necessary to be done in or about the premises, as fully to all intents and purposes as they might or could do in person, hereby ratifying and confirming all that said attorneys-in-fact and agents or any of them or their substitute may lawfully do or cause to be done by virtue hereof.</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and on the dates indicated.</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51"/>
        <w:gridCol w:w="984"/>
        <w:gridCol w:w="892"/>
        <w:gridCol w:w="109"/>
        <w:gridCol w:w="109"/>
        <w:gridCol w:w="109"/>
        <w:gridCol w:w="1703"/>
        <w:gridCol w:w="1639"/>
        <w:gridCol w:w="1661"/>
        <w:gridCol w:w="109"/>
        <w:gridCol w:w="109"/>
        <w:gridCol w:w="109"/>
        <w:gridCol w:w="442"/>
        <w:gridCol w:w="442"/>
        <w:gridCol w:w="637"/>
      </w:tblGrid>
      <w:tr>
        <w:trPr/>
        <w:tc>
          <w:tcPr>
            <w:tcW w:w="11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3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3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Everett Cunningham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President, Chief Executive Officer and Director (principal executive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10, 2026</w:t>
            </w:r>
          </w:p>
        </w:tc>
      </w:tr>
      <w:tr>
        <w:trPr/>
        <w:tc>
          <w:tcPr>
            <w:tcW w:w="30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Everett Cunningham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Faessler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(principal financial officer and principal accounting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10, 2026</w:t>
            </w:r>
          </w:p>
        </w:tc>
      </w:tr>
      <w:tr>
        <w:trPr/>
        <w:tc>
          <w:tcPr>
            <w:tcW w:w="30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Faessler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P. Donnelly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10, 2026</w:t>
            </w:r>
          </w:p>
        </w:tc>
      </w:tr>
      <w:tr>
        <w:trPr/>
        <w:tc>
          <w:tcPr>
            <w:tcW w:w="30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P. Donnelly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T. Elliott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Lead Independent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10, 2026</w:t>
            </w:r>
          </w:p>
        </w:tc>
      </w:tr>
      <w:tr>
        <w:trPr/>
        <w:tc>
          <w:tcPr>
            <w:tcW w:w="30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T. Elliot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Karen A. Flynn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10, 2026</w:t>
            </w:r>
          </w:p>
        </w:tc>
      </w:tr>
      <w:tr>
        <w:trPr/>
        <w:tc>
          <w:tcPr>
            <w:tcW w:w="30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Karen A. Flynn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Garret M. Hampton,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10, 2026</w:t>
            </w:r>
          </w:p>
        </w:tc>
      </w:tr>
      <w:tr>
        <w:trPr/>
        <w:tc>
          <w:tcPr>
            <w:tcW w:w="30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Garret M. Hampton,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Myla Lai-Goldman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10, 2026</w:t>
            </w:r>
          </w:p>
        </w:tc>
      </w:tr>
      <w:tr>
        <w:trPr/>
        <w:tc>
          <w:tcPr>
            <w:tcW w:w="30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Myla Lai-Goldman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Ivana Magovčević-Liebisch, Ph.D., J.D.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10, 2026</w:t>
            </w:r>
          </w:p>
        </w:tc>
      </w:tr>
      <w:tr>
        <w:trPr/>
        <w:tc>
          <w:tcPr>
            <w:tcW w:w="30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Ivana Magovčević-Liebisch, Ph.D., J.D.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Scott Mendel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10, 2026</w:t>
            </w:r>
          </w:p>
        </w:tc>
      </w:tr>
      <w:tr>
        <w:trPr/>
        <w:tc>
          <w:tcPr>
            <w:tcW w:w="30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Scott Mendel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Alan Sachs,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10, 2026</w:t>
            </w:r>
          </w:p>
        </w:tc>
      </w:tr>
      <w:tr>
        <w:trPr/>
        <w:tc>
          <w:tcPr>
            <w:tcW w:w="30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Alan Sachs,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left"/>
        <w:rPr>
          <w:color w:val="000000"/>
        </w:rPr>
      </w:pPr>
      <w:r>
        <w:rPr>
          <w:color w:val="000000"/>
        </w:rPr>
        <w:t> </w:t>
      </w:r>
    </w:p>
    <w:p>
      <w:pPr>
        <w:pStyle w:val="TextBody"/>
        <w:bidi w:val="0"/>
        <w:spacing w:before="0" w:after="24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107</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Calculation of Filing Fee Tables </w:t>
      </w:r>
    </w:p>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 S-8</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(Form Type) </w:t>
      </w:r>
    </w:p>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Quanterix Corporation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(Exact Name of Registrant as Specified in its Charter) </w:t>
      </w:r>
    </w:p>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Table 1: Newly Registered Securities </w:t>
      </w:r>
    </w:p>
    <w:tbl>
      <w:tblPr>
        <w:tblW w:w="10205" w:type="dxa"/>
        <w:jc w:val="left"/>
        <w:tblInd w:w="0" w:type="dxa"/>
        <w:tblLayout w:type="fixed"/>
        <w:tblCellMar>
          <w:top w:w="28" w:type="dxa"/>
          <w:left w:w="28" w:type="dxa"/>
          <w:bottom w:w="28" w:type="dxa"/>
          <w:right w:w="28" w:type="dxa"/>
        </w:tblCellMar>
      </w:tblPr>
      <w:tblGrid>
        <w:gridCol w:w="227"/>
        <w:gridCol w:w="199"/>
        <w:gridCol w:w="200"/>
        <w:gridCol w:w="1345"/>
        <w:gridCol w:w="1275"/>
        <w:gridCol w:w="1219"/>
        <w:gridCol w:w="270"/>
        <w:gridCol w:w="270"/>
        <w:gridCol w:w="271"/>
        <w:gridCol w:w="266"/>
        <w:gridCol w:w="266"/>
        <w:gridCol w:w="268"/>
        <w:gridCol w:w="388"/>
        <w:gridCol w:w="388"/>
        <w:gridCol w:w="390"/>
        <w:gridCol w:w="440"/>
        <w:gridCol w:w="325"/>
        <w:gridCol w:w="327"/>
        <w:gridCol w:w="319"/>
        <w:gridCol w:w="319"/>
        <w:gridCol w:w="323"/>
        <w:gridCol w:w="264"/>
        <w:gridCol w:w="264"/>
        <w:gridCol w:w="382"/>
      </w:tblGrid>
      <w:tr>
        <w:trPr/>
        <w:tc>
          <w:tcPr>
            <w:tcW w:w="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Security </w:t>
            </w:r>
          </w:p>
          <w:p>
            <w:pPr>
              <w:pStyle w:val="TableContents"/>
              <w:bidi w:val="0"/>
              <w:spacing w:lineRule="auto" w:line="288" w:before="0" w:after="20"/>
              <w:jc w:val="center"/>
              <w:rPr>
                <w:rFonts w:ascii="Times New Roman;serif" w:hAnsi="Times New Roman;serif"/>
                <w:b/>
                <w:color w:val="000000"/>
                <w:sz w:val="14"/>
              </w:rPr>
            </w:pPr>
            <w:r>
              <w:rPr>
                <w:rFonts w:ascii="Times New Roman;serif" w:hAnsi="Times New Roman;serif"/>
                <w:b/>
                <w:color w:val="000000"/>
                <w:sz w:val="14"/>
              </w:rPr>
              <w:t>Type</w:t>
            </w:r>
          </w:p>
        </w:tc>
        <w:tc>
          <w:tcPr>
            <w:tcW w:w="38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Security Class Title</w:t>
            </w:r>
          </w:p>
        </w:tc>
        <w:tc>
          <w:tcPr>
            <w:tcW w:w="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Fee</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Calculation</w:t>
            </w:r>
          </w:p>
          <w:p>
            <w:pPr>
              <w:pStyle w:val="TableContents"/>
              <w:bidi w:val="0"/>
              <w:spacing w:lineRule="auto" w:line="288" w:before="0" w:after="20"/>
              <w:jc w:val="center"/>
              <w:rPr>
                <w:rFonts w:ascii="Times New Roman;serif" w:hAnsi="Times New Roman;serif"/>
                <w:b/>
                <w:color w:val="000000"/>
                <w:sz w:val="14"/>
              </w:rPr>
            </w:pPr>
            <w:r>
              <w:rPr>
                <w:rFonts w:ascii="Times New Roman;serif" w:hAnsi="Times New Roman;serif"/>
                <w:b/>
                <w:color w:val="000000"/>
                <w:sz w:val="14"/>
              </w:rPr>
              <w:t>Rule</w:t>
            </w:r>
          </w:p>
        </w:tc>
        <w:tc>
          <w:tcPr>
            <w:tcW w:w="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Amount</w:t>
            </w:r>
          </w:p>
          <w:p>
            <w:pPr>
              <w:pStyle w:val="TableContents"/>
              <w:bidi w:val="0"/>
              <w:spacing w:lineRule="auto" w:line="288" w:before="0" w:after="20"/>
              <w:jc w:val="center"/>
              <w:rPr/>
            </w:pPr>
            <w:r>
              <w:rPr>
                <w:rFonts w:ascii="Times New Roman;serif" w:hAnsi="Times New Roman;serif"/>
                <w:b/>
                <w:color w:val="000000"/>
                <w:sz w:val="14"/>
              </w:rPr>
              <w:t>Registered</w:t>
            </w:r>
            <w:r>
              <w:rPr>
                <w:rFonts w:ascii="Times New Roman;serif" w:hAnsi="Times New Roman;serif"/>
                <w:b/>
                <w:color w:val="000000"/>
                <w:sz w:val="11"/>
              </w:rPr>
              <w:t>(1)</w:t>
            </w:r>
          </w:p>
        </w:tc>
        <w:tc>
          <w:tcPr>
            <w:tcW w:w="11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Proposed Maximum Offering</w:t>
            </w:r>
          </w:p>
          <w:p>
            <w:pPr>
              <w:pStyle w:val="TableContents"/>
              <w:bidi w:val="0"/>
              <w:spacing w:lineRule="auto" w:line="288" w:before="0" w:after="20"/>
              <w:jc w:val="center"/>
              <w:rPr/>
            </w:pPr>
            <w:r>
              <w:rPr>
                <w:rFonts w:ascii="Times New Roman;serif" w:hAnsi="Times New Roman;serif"/>
                <w:b/>
                <w:color w:val="000000"/>
                <w:sz w:val="14"/>
              </w:rPr>
              <w:t>Price Per Unit</w:t>
            </w:r>
            <w:r>
              <w:rPr>
                <w:rFonts w:ascii="Times New Roman;serif" w:hAnsi="Times New Roman;serif"/>
                <w:b/>
                <w:color w:val="000000"/>
                <w:sz w:val="11"/>
              </w:rPr>
              <w:t>(2)</w:t>
            </w:r>
          </w:p>
        </w:tc>
        <w:tc>
          <w:tcPr>
            <w:tcW w:w="10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Maximum Aggregate</w:t>
            </w:r>
          </w:p>
          <w:p>
            <w:pPr>
              <w:pStyle w:val="TableContents"/>
              <w:bidi w:val="0"/>
              <w:spacing w:lineRule="auto" w:line="288" w:before="0" w:after="20"/>
              <w:jc w:val="center"/>
              <w:rPr/>
            </w:pPr>
            <w:r>
              <w:rPr>
                <w:rFonts w:ascii="Times New Roman;serif" w:hAnsi="Times New Roman;serif"/>
                <w:b/>
                <w:color w:val="000000"/>
                <w:sz w:val="14"/>
              </w:rPr>
              <w:t>Offering Price</w:t>
            </w:r>
            <w:r>
              <w:rPr>
                <w:rFonts w:ascii="Times New Roman;serif" w:hAnsi="Times New Roman;serif"/>
                <w:b/>
                <w:color w:val="000000"/>
                <w:sz w:val="11"/>
              </w:rPr>
              <w:t>(3)</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Fee</w:t>
            </w:r>
          </w:p>
          <w:p>
            <w:pPr>
              <w:pStyle w:val="TableContents"/>
              <w:bidi w:val="0"/>
              <w:spacing w:lineRule="auto" w:line="288" w:before="0" w:after="20"/>
              <w:jc w:val="center"/>
              <w:rPr>
                <w:rFonts w:ascii="Times New Roman;serif" w:hAnsi="Times New Roman;serif"/>
                <w:b/>
                <w:color w:val="000000"/>
                <w:sz w:val="14"/>
              </w:rPr>
            </w:pPr>
            <w:r>
              <w:rPr>
                <w:rFonts w:ascii="Times New Roman;serif" w:hAnsi="Times New Roman;serif"/>
                <w:b/>
                <w:color w:val="000000"/>
                <w:sz w:val="14"/>
              </w:rPr>
              <w:t>Rate</w:t>
            </w:r>
          </w:p>
        </w:tc>
        <w:tc>
          <w:tcPr>
            <w:tcW w:w="9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Amount of</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Registration</w:t>
            </w:r>
          </w:p>
          <w:p>
            <w:pPr>
              <w:pStyle w:val="TableContents"/>
              <w:bidi w:val="0"/>
              <w:spacing w:lineRule="auto" w:line="288" w:before="0" w:after="20"/>
              <w:jc w:val="center"/>
              <w:rPr>
                <w:rFonts w:ascii="Times New Roman;serif" w:hAnsi="Times New Roman;serif"/>
                <w:b/>
                <w:color w:val="000000"/>
                <w:sz w:val="14"/>
              </w:rPr>
            </w:pPr>
            <w:r>
              <w:rPr>
                <w:rFonts w:ascii="Times New Roman;serif" w:hAnsi="Times New Roman;serif"/>
                <w:b/>
                <w:color w:val="000000"/>
                <w:sz w:val="14"/>
              </w:rPr>
              <w:t>Fee</w:t>
            </w:r>
          </w:p>
        </w:tc>
      </w:tr>
      <w:tr>
        <w:trPr/>
        <w:tc>
          <w:tcPr>
            <w:tcW w:w="626" w:type="dxa"/>
            <w:gridSpan w:val="3"/>
            <w:tcBorders>
              <w:top w:val="single" w:sz="4" w:space="0" w:color="000000"/>
              <w:left w:val="single" w:sz="4" w:space="0" w:color="000000"/>
              <w:bottom w:val="single" w:sz="4" w:space="0" w:color="000000"/>
            </w:tcBorders>
            <w:tcMar>
              <w:top w:w="30" w:type="dxa"/>
              <w:left w:w="7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Equity</w:t>
            </w:r>
          </w:p>
        </w:tc>
        <w:tc>
          <w:tcPr>
            <w:tcW w:w="38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 to be issued under the Amended &amp; Restated 2025 Inducement Plan</w:t>
            </w:r>
          </w:p>
        </w:tc>
        <w:tc>
          <w:tcPr>
            <w:tcW w:w="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w:t>
            </w:r>
          </w:p>
        </w:tc>
        <w:tc>
          <w:tcPr>
            <w:tcW w:w="80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415,000</w:t>
            </w:r>
          </w:p>
        </w:tc>
        <w:tc>
          <w:tcPr>
            <w:tcW w:w="11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$2.72</w:t>
            </w:r>
          </w:p>
        </w:tc>
        <w:tc>
          <w:tcPr>
            <w:tcW w:w="10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$1,128,800</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0.00013810</w:t>
            </w:r>
          </w:p>
        </w:tc>
        <w:tc>
          <w:tcPr>
            <w:tcW w:w="9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$155.89</w:t>
            </w:r>
          </w:p>
        </w:tc>
      </w:tr>
      <w:tr>
        <w:trPr/>
        <w:tc>
          <w:tcPr>
            <w:tcW w:w="6076" w:type="dxa"/>
            <w:gridSpan w:val="12"/>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Offering Amounts</w:t>
            </w:r>
          </w:p>
        </w:tc>
        <w:tc>
          <w:tcPr>
            <w:tcW w:w="11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$1,128,800</w:t>
            </w:r>
          </w:p>
        </w:tc>
        <w:tc>
          <w:tcPr>
            <w:tcW w:w="9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$155.89</w:t>
            </w:r>
          </w:p>
        </w:tc>
      </w:tr>
      <w:tr>
        <w:trPr/>
        <w:tc>
          <w:tcPr>
            <w:tcW w:w="6076" w:type="dxa"/>
            <w:gridSpan w:val="1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Total Fee Offsets</w:t>
            </w:r>
            <w:r>
              <w:rPr>
                <w:color w:val="000000"/>
              </w:rPr>
              <w:t xml:space="preserve"> </w:t>
            </w:r>
            <w:r>
              <w:rPr>
                <w:rFonts w:ascii="Times New Roman;serif" w:hAnsi="Times New Roman;serif"/>
                <w:b/>
                <w:color w:val="000000"/>
                <w:sz w:val="15"/>
              </w:rPr>
              <w:t>(4)</w:t>
            </w:r>
          </w:p>
        </w:tc>
        <w:tc>
          <w:tcPr>
            <w:tcW w:w="11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076" w:type="dxa"/>
            <w:gridSpan w:val="1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Fee Due</w:t>
            </w:r>
          </w:p>
        </w:tc>
        <w:tc>
          <w:tcPr>
            <w:tcW w:w="116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$155.89</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This Registration Statement on Form S-8 (this “Registration Statement”) covers shares of common stock, par value $0.001 per share (“Common Stock”), of Quanterix Corporation authorized for issuance under the Amended and Restated 2025 Inducement Plan (the “Inducement Plan”). Pursuant to Rule 416(a) under the Securities Act of 1933, as amended (the “Securities Act”), this Registration Statement shall also cover any additional shares of Common Stock that become issuable in respect of such securities by reason of any stock dividend, stock split, recapitalization or other similar transaction.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Estimated solely for the purpose of calculating the amount of the registration fee pursuant to Rule 457(c) and Rule 457(h) under the Securities Act, and based upon the average of the high and low prices of the registrant’s Common Stock as reported on The Nasdaq Global Market on September 8, 2026.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solely for the purpose of calculating the amount of the registration fee pursuant to Rule 457(h) under the Securities Act, and based upon the average of the high and low prices of the registrant’s Common Stock as reported on The Nasdaq Global Market on September 8, 2026.</w:t>
            </w:r>
          </w:p>
        </w:tc>
      </w:tr>
    </w:tbl>
    <w:tbl>
      <w:tblPr>
        <w:tblW w:w="4034" w:type="dxa"/>
        <w:jc w:val="left"/>
        <w:tblInd w:w="0" w:type="dxa"/>
        <w:tblLayout w:type="fixed"/>
        <w:tblCellMar>
          <w:top w:w="28" w:type="dxa"/>
          <w:left w:w="28" w:type="dxa"/>
          <w:bottom w:w="28" w:type="dxa"/>
          <w:right w:w="28" w:type="dxa"/>
        </w:tblCellMar>
      </w:tblPr>
      <w:tblGrid>
        <w:gridCol w:w="125"/>
        <w:gridCol w:w="110"/>
        <w:gridCol w:w="110"/>
        <w:gridCol w:w="1079"/>
        <w:gridCol w:w="1079"/>
        <w:gridCol w:w="1531"/>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 does not have any fee offsets.</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514600" cy="67627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7"/>
                    <a:stretch>
                      <a:fillRect/>
                    </a:stretch>
                  </pic:blipFill>
                  <pic:spPr bwMode="auto">
                    <a:xfrm>
                      <a:off x="0" y="0"/>
                      <a:ext cx="2514600" cy="676275"/>
                    </a:xfrm>
                    <a:prstGeom prst="rect">
                      <a:avLst/>
                    </a:prstGeom>
                  </pic:spPr>
                </pic:pic>
              </a:graphicData>
            </a:graphic>
          </wp:inline>
        </w:drawing>
      </w:r>
      <w:r>
        <w:rPr/>
        <w:drawing>
          <wp:inline distT="0" distB="0" distL="0" distR="0">
            <wp:extent cx="1571625" cy="67627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8"/>
                    <a:stretch>
                      <a:fillRect/>
                    </a:stretch>
                  </pic:blipFill>
                  <pic:spPr bwMode="auto">
                    <a:xfrm>
                      <a:off x="0" y="0"/>
                      <a:ext cx="1571625" cy="676275"/>
                    </a:xfrm>
                    <a:prstGeom prst="rect">
                      <a:avLst/>
                    </a:prstGeom>
                  </pic:spPr>
                </pic:pic>
              </a:graphicData>
            </a:graphic>
          </wp:inline>
        </w:drawing>
      </w:r>
    </w:p>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September 10, 2026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Quanterix Corporation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900 Middlesex Turnpike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Billerica, MA 01821</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Ladies and Gentlemen: </w:t>
      </w:r>
    </w:p>
    <w:p>
      <w:pPr>
        <w:pStyle w:val="TextBody"/>
        <w:bidi w:val="0"/>
        <w:spacing w:lineRule="auto" w:line="268" w:before="18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acted as counsel to Quanterix Corporation, a Delaware corporation (the “Company”), and are rendering this opinion in connection with the registration by the Company under the Securities Act of 1933 (the “Securities Act”) of the offer and sale of up to 415,000 shares of the Company’s common stock, par value $0.001 per share (the “Shares”), issuable pursuant to awards granted under the Amended and Restated 2025 Inducement Plan (as amended and restated, the “Inducement Plan”), pursuant to the registration statement on Form S-8 filed with the United States Securities and Exchange Commission (the “Commission”) on the date hereof (the “Registration Statement”). </w:t>
      </w:r>
    </w:p>
    <w:p>
      <w:pPr>
        <w:pStyle w:val="TextBody"/>
        <w:bidi w:val="0"/>
        <w:spacing w:lineRule="auto" w:line="268" w:before="18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reviewed the Registration Statement, the Inducement Plan, the Amended and Restated Certificate of Incorporation of the Company, and the Amended and Restated By-laws of the Company.</w:t>
      </w:r>
    </w:p>
    <w:p>
      <w:pPr>
        <w:pStyle w:val="TextBody"/>
        <w:bidi w:val="0"/>
        <w:spacing w:lineRule="auto" w:line="268" w:before="18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also reviewed such corporate records, certificates and other documents, and such questions of law, as we have deemed necessary or appropriate for the purposes of this opinion. We have assumed that all signatures are genuine, that all documents submitted to us as originals are authentic and that all copies of documents submitted to us conform to the originals. </w:t>
      </w:r>
    </w:p>
    <w:p>
      <w:pPr>
        <w:pStyle w:val="TextBody"/>
        <w:bidi w:val="0"/>
        <w:spacing w:lineRule="auto" w:line="268" w:before="18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relied as to certain matters on information obtained from public officials, officers of the Company and other sources believed by us to be responsible. </w:t>
      </w:r>
    </w:p>
    <w:p>
      <w:pPr>
        <w:pStyle w:val="TextBody"/>
        <w:bidi w:val="0"/>
        <w:spacing w:lineRule="auto" w:line="268" w:before="18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upon the foregoing, we are of the opinion that the Shares have been duly authorized and, when duly issued in accordance with the terms of the Inducement Plan and any award agreements duly adopted thereunder and in accordance therewith, will be validly issued, fully paid and non-assessable.</w:t>
      </w:r>
    </w:p>
    <w:p>
      <w:pPr>
        <w:pStyle w:val="TextBody"/>
        <w:bidi w:val="0"/>
        <w:spacing w:lineRule="auto" w:line="268" w:before="18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members of the bar of the Commonwealth of Massachusetts. We do not express any opinion herein on any laws other than the Delaware General Corporation Law and reported judicial decisions interpreting such law. </w:t>
      </w:r>
    </w:p>
    <w:p>
      <w:pPr>
        <w:pStyle w:val="TextBody"/>
        <w:bidi w:val="0"/>
        <w:spacing w:lineRule="auto" w:line="268" w:before="18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hereby consent to the filing of this opinion as Exhibit 5.1 to the Registration Statement. We also hereby consent to the reference to our firm under the heading “Interests of Named Experts and Counsel” in the Registration Statement. In giving such consent, we do not thereby admit that we are in the category of persons whose consent is required under Section 7 of the Securities Act. </w:t>
      </w:r>
    </w:p>
    <w:p>
      <w:pPr>
        <w:pStyle w:val="TextBody"/>
        <w:bidi w:val="0"/>
        <w:spacing w:lineRule="auto" w:line="268" w:before="240" w:after="240"/>
        <w:ind w:left="0" w:right="0" w:firstLine="5760"/>
        <w:jc w:val="left"/>
        <w:rPr>
          <w:rFonts w:ascii="Times New Roman;serif" w:hAnsi="Times New Roman;serif"/>
          <w:b w:val="false"/>
          <w:color w:val="000000"/>
          <w:sz w:val="20"/>
        </w:rPr>
      </w:pPr>
      <w:r>
        <w:rPr>
          <w:rFonts w:ascii="Times New Roman;serif" w:hAnsi="Times New Roman;serif"/>
          <w:b w:val="false"/>
          <w:color w:val="000000"/>
          <w:sz w:val="20"/>
        </w:rPr>
        <w:t xml:space="preserve">Very truly yours, </w:t>
      </w:r>
    </w:p>
    <w:p>
      <w:pPr>
        <w:pStyle w:val="TextBody"/>
        <w:bidi w:val="0"/>
        <w:spacing w:lineRule="auto" w:line="268" w:before="240" w:after="240"/>
        <w:ind w:left="0" w:right="0" w:firstLine="5760"/>
        <w:jc w:val="left"/>
        <w:rPr>
          <w:rFonts w:ascii="Times New Roman;serif" w:hAnsi="Times New Roman;serif"/>
          <w:b w:val="false"/>
          <w:color w:val="000000"/>
          <w:sz w:val="20"/>
        </w:rPr>
      </w:pPr>
      <w:r>
        <w:rPr>
          <w:rFonts w:ascii="Times New Roman;serif" w:hAnsi="Times New Roman;serif"/>
          <w:b w:val="false"/>
          <w:color w:val="000000"/>
          <w:sz w:val="20"/>
        </w:rPr>
        <w:t>/s/ Covington &amp; Burling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23.2</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color w:val="000000"/>
        </w:rPr>
      </w:pPr>
      <w:r>
        <w:rPr>
          <w:color w:val="000000"/>
        </w:rPr>
        <w:t> </w:t>
      </w:r>
    </w:p>
    <w:p>
      <w:pPr>
        <w:pStyle w:val="TextBody"/>
        <w:bidi w:val="0"/>
        <w:spacing w:lineRule="auto" w:line="268" w:before="0" w:after="0"/>
        <w:jc w:val="center"/>
        <w:rPr>
          <w:rFonts w:ascii="Times New Roman;serif" w:hAnsi="Times New Roman;serif"/>
          <w:b/>
          <w:color w:val="020202"/>
          <w:sz w:val="20"/>
        </w:rPr>
      </w:pPr>
      <w:r>
        <w:rPr>
          <w:rFonts w:ascii="Times New Roman;serif" w:hAnsi="Times New Roman;serif"/>
          <w:b/>
          <w:color w:val="020202"/>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20202"/>
          <w:sz w:val="20"/>
        </w:rPr>
      </w:pPr>
      <w:r>
        <w:rPr>
          <w:rFonts w:ascii="Times New Roman;serif" w:hAnsi="Times New Roman;serif"/>
          <w:b w:val="false"/>
          <w:color w:val="020202"/>
          <w:sz w:val="20"/>
        </w:rPr>
        <w:t>We consent to the use of our report dated March 2, 2026, with respect to the consolidated financial statements of Quanterix Corporation and subsidiaries, and the effectiveness of internal control over financial reporting, incorporated herein by reference.</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268"/>
        <w:jc w:val="left"/>
        <w:rPr/>
      </w:pPr>
      <w:r>
        <w:rPr>
          <w:rFonts w:ascii="Times New Roman;serif" w:hAnsi="Times New Roman;serif"/>
          <w:b w:val="false"/>
          <w:color w:val="000000"/>
          <w:sz w:val="20"/>
        </w:rPr>
        <w:t>September 10, 2026</w:t>
      </w: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23.3</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color w:val="000000"/>
        </w:rPr>
      </w:pPr>
      <w:r>
        <w:rPr>
          <w:color w:val="000000"/>
        </w:rPr>
        <w:t> </w:t>
      </w:r>
    </w:p>
    <w:p>
      <w:pPr>
        <w:pStyle w:val="TextBody"/>
        <w:bidi w:val="0"/>
        <w:spacing w:lineRule="auto" w:line="268" w:before="0" w:after="0"/>
        <w:jc w:val="center"/>
        <w:rPr>
          <w:rFonts w:ascii="Times New Roman;serif" w:hAnsi="Times New Roman;serif"/>
          <w:b/>
          <w:color w:val="020202"/>
          <w:sz w:val="20"/>
        </w:rPr>
      </w:pPr>
      <w:r>
        <w:rPr>
          <w:rFonts w:ascii="Times New Roman;serif" w:hAnsi="Times New Roman;serif"/>
          <w:b/>
          <w:color w:val="020202"/>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20202"/>
          <w:sz w:val="20"/>
        </w:rPr>
      </w:pPr>
      <w:r>
        <w:rPr>
          <w:rFonts w:ascii="Times New Roman;serif" w:hAnsi="Times New Roman;serif"/>
          <w:b w:val="false"/>
          <w:color w:val="020202"/>
          <w:sz w:val="20"/>
        </w:rPr>
        <w:t>We consent to the incorporation by reference in the Registration Statement (Form S-8) pertaining to the Amended and Restated 2025 Inducement Plan of Quanterix Corporation of our report dated March 17, 2025, with respect to the consolidated financial statements of Quanterix Corporation for the years ended December 31, 2024 and 2023, included in its Annual Report (Form 10-K) for the year ended December 31, 2025, filed with the Securities and Exchange Commission.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268"/>
        <w:jc w:val="left"/>
        <w:rPr/>
      </w:pPr>
      <w:r>
        <w:rPr>
          <w:rFonts w:ascii="Times New Roman;serif" w:hAnsi="Times New Roman;serif"/>
          <w:b w:val="false"/>
          <w:color w:val="000000"/>
          <w:sz w:val="20"/>
        </w:rPr>
        <w:t>September 10, 2026</w:t>
      </w: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QUANTERIX CORPORATION</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AMENDED AND RESTATED 2025 INDUCEMENT PLAN</w:t>
      </w:r>
    </w:p>
    <w:p>
      <w:pPr>
        <w:pStyle w:val="TextBody"/>
        <w:bidi w:val="0"/>
        <w:spacing w:lineRule="auto" w:line="268" w:before="240" w:after="240"/>
        <w:ind w:left="0" w:right="0" w:hanging="36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otherwise specified or unless the context otherwise requires, the following terms, as used in this Quanterix Corporation Amended and Restated 2025 Inducement Plan, have the following meanings:</w:t>
      </w:r>
    </w:p>
    <w:p>
      <w:pPr>
        <w:pStyle w:val="TextBody"/>
        <w:bidi w:val="0"/>
        <w:spacing w:lineRule="auto" w:line="268" w:before="240" w:after="240"/>
        <w:jc w:val="both"/>
        <w:rPr/>
      </w:pPr>
      <w:r>
        <w:rPr>
          <w:rFonts w:ascii="Times New Roman;serif" w:hAnsi="Times New Roman;serif"/>
          <w:b w:val="false"/>
          <w:color w:val="000000"/>
          <w:sz w:val="24"/>
          <w:u w:val="single"/>
        </w:rPr>
        <w:t>Administrator</w:t>
      </w:r>
      <w:r>
        <w:rPr>
          <w:color w:val="000000"/>
        </w:rPr>
        <w:t xml:space="preserve"> </w:t>
      </w:r>
      <w:r>
        <w:rPr>
          <w:rFonts w:ascii="Times New Roman;serif" w:hAnsi="Times New Roman;serif"/>
          <w:b w:val="false"/>
          <w:color w:val="000000"/>
          <w:sz w:val="24"/>
        </w:rPr>
        <w:t>means the Board of Directors, unless it has delegated power to act on its behalf to the Committee, in which case the term “Administrator” means the Committee.</w:t>
      </w:r>
    </w:p>
    <w:p>
      <w:pPr>
        <w:pStyle w:val="TextBody"/>
        <w:bidi w:val="0"/>
        <w:spacing w:lineRule="auto" w:line="268" w:before="240" w:after="240"/>
        <w:jc w:val="both"/>
        <w:rPr/>
      </w:pP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a corporation or other entity which, for purposes of Section 424 of the Code, is a parent or subsidiary of the Company, direct or indirect.</w:t>
      </w:r>
    </w:p>
    <w:p>
      <w:pPr>
        <w:pStyle w:val="TextBody"/>
        <w:bidi w:val="0"/>
        <w:spacing w:lineRule="auto" w:line="268" w:before="240" w:after="240"/>
        <w:jc w:val="both"/>
        <w:rPr/>
      </w:pP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means an agreement between the Company and a Participant pertaining to a Stock Right and delivered pursuant to the Plan in such form as the Administrator shall approve.</w:t>
      </w:r>
    </w:p>
    <w:p>
      <w:pPr>
        <w:pStyle w:val="TextBody"/>
        <w:bidi w:val="0"/>
        <w:spacing w:lineRule="auto" w:line="268" w:before="240" w:after="240"/>
        <w:ind w:left="0" w:right="0" w:firstLine="1440"/>
        <w:jc w:val="both"/>
        <w:rPr/>
      </w:pPr>
      <w:r>
        <w:rPr>
          <w:rFonts w:ascii="Times New Roman;serif" w:hAnsi="Times New Roman;serif"/>
          <w:b w:val="false"/>
          <w:color w:val="000000"/>
          <w:sz w:val="24"/>
          <w:u w:val="single"/>
        </w:rPr>
        <w:t>Board of Directors</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68" w:before="240" w:after="240"/>
        <w:jc w:val="both"/>
        <w:rPr/>
      </w:pP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means, with respect to a Participant (a) dishonesty with respect to the Company or any Affiliate, (b) insubordination, substantial malfeasance or non</w:t>
        <w:noBreakHyphen/>
        <w:t>feasance of duty, (c) unauthorized disclosure of confidential information, (d) breach by the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the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pStyle w:val="TextBody"/>
        <w:bidi w:val="0"/>
        <w:spacing w:lineRule="auto" w:line="268" w:before="240" w:after="240"/>
        <w:jc w:val="both"/>
        <w:rPr/>
      </w:pP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United States Internal Revenue Code of 1986, as amended including any successor statute, regulation and guidance thereto.</w:t>
      </w:r>
    </w:p>
    <w:p>
      <w:pPr>
        <w:pStyle w:val="TextBody"/>
        <w:bidi w:val="0"/>
        <w:spacing w:lineRule="auto" w:line="268" w:before="240" w:after="240"/>
        <w:jc w:val="both"/>
        <w:rPr/>
      </w:pPr>
      <w:r>
        <w:rPr>
          <w:rFonts w:ascii="Times New Roman;serif" w:hAnsi="Times New Roman;serif"/>
          <w:b w:val="false"/>
          <w:color w:val="000000"/>
          <w:sz w:val="24"/>
          <w:u w:val="single"/>
        </w:rPr>
        <w:t>Committee</w:t>
      </w:r>
      <w:r>
        <w:rPr>
          <w:color w:val="000000"/>
        </w:rPr>
        <w:t xml:space="preserve"> </w:t>
      </w:r>
      <w:r>
        <w:rPr>
          <w:rFonts w:ascii="Times New Roman;serif" w:hAnsi="Times New Roman;serif"/>
          <w:b w:val="false"/>
          <w:color w:val="000000"/>
          <w:sz w:val="24"/>
        </w:rPr>
        <w:t>means the Compensation Committee of the Board of Directors (or any successor committee).</w:t>
      </w:r>
    </w:p>
    <w:p>
      <w:pPr>
        <w:pStyle w:val="TextBody"/>
        <w:bidi w:val="0"/>
        <w:spacing w:lineRule="auto" w:line="268" w:before="240" w:after="240"/>
        <w:jc w:val="both"/>
        <w:rPr/>
      </w:pPr>
      <w:r>
        <w:rPr>
          <w:rFonts w:ascii="Times New Roman;serif" w:hAnsi="Times New Roman;serif"/>
          <w:b w:val="false"/>
          <w:color w:val="000000"/>
          <w:sz w:val="24"/>
          <w:u w:val="single"/>
        </w:rPr>
        <w:t>Common Stock</w:t>
      </w:r>
      <w:r>
        <w:rPr>
          <w:color w:val="000000"/>
        </w:rPr>
        <w:t xml:space="preserve"> </w:t>
      </w:r>
      <w:r>
        <w:rPr>
          <w:rFonts w:ascii="Times New Roman;serif" w:hAnsi="Times New Roman;serif"/>
          <w:b w:val="false"/>
          <w:color w:val="000000"/>
          <w:sz w:val="24"/>
        </w:rPr>
        <w:t>means shares of the Company’s common stock, $0.001 par value per share.</w:t>
      </w:r>
    </w:p>
    <w:p>
      <w:pPr>
        <w:pStyle w:val="TextBody"/>
        <w:bidi w:val="0"/>
        <w:spacing w:lineRule="auto" w:line="268" w:before="240" w:after="240"/>
        <w:jc w:val="both"/>
        <w:rPr/>
      </w:pP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means Quanterix Corporation, a Delaware corporation.</w:t>
      </w:r>
    </w:p>
    <w:p>
      <w:pPr>
        <w:pStyle w:val="TextBody"/>
        <w:bidi w:val="0"/>
        <w:spacing w:lineRule="auto" w:line="268" w:before="240" w:after="240"/>
        <w:jc w:val="both"/>
        <w:rPr/>
      </w:pPr>
      <w:r>
        <w:rPr>
          <w:rFonts w:ascii="Times New Roman;serif" w:hAnsi="Times New Roman;serif"/>
          <w:b w:val="false"/>
          <w:color w:val="000000"/>
          <w:sz w:val="24"/>
          <w:u w:val="single"/>
        </w:rPr>
        <w:t>Consultant</w:t>
      </w:r>
      <w:r>
        <w:rPr>
          <w:color w:val="000000"/>
        </w:rPr>
        <w:t xml:space="preserve"> </w:t>
      </w:r>
      <w:r>
        <w:rPr>
          <w:rFonts w:ascii="Times New Roman;serif" w:hAnsi="Times New Roman;serif"/>
          <w:b w:val="false"/>
          <w:color w:val="000000"/>
          <w:sz w:val="24"/>
        </w:rPr>
        <w:t xml:space="preserve">means any natural person who is an advisor or consultant who provides bona fide services to the Company or its Affiliates, provided that such </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240"/>
        <w:jc w:val="both"/>
        <w:rPr>
          <w:rFonts w:ascii="Times New Roman;serif" w:hAnsi="Times New Roman;serif"/>
          <w:b w:val="false"/>
          <w:color w:val="000000"/>
          <w:sz w:val="24"/>
        </w:rPr>
      </w:pPr>
      <w:r>
        <w:rPr>
          <w:rFonts w:ascii="Times New Roman;serif" w:hAnsi="Times New Roman;serif"/>
          <w:b w:val="false"/>
          <w:color w:val="000000"/>
          <w:sz w:val="24"/>
        </w:rPr>
        <w:t>services are not in connection with the offer or sale of securities in a capital raising transaction, and do not directly or indirectly promote or maintain a market for the Company’s or its Affiliates’ securities.</w:t>
      </w:r>
    </w:p>
    <w:p>
      <w:pPr>
        <w:pStyle w:val="TextBody"/>
        <w:bidi w:val="0"/>
        <w:spacing w:lineRule="auto" w:line="268" w:before="240" w:after="240"/>
        <w:jc w:val="both"/>
        <w:rPr/>
      </w:pP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Disabled</w:t>
      </w:r>
      <w:r>
        <w:rPr>
          <w:color w:val="000000"/>
        </w:rPr>
        <w:t xml:space="preserve"> </w:t>
      </w:r>
      <w:r>
        <w:rPr>
          <w:rFonts w:ascii="Times New Roman;serif" w:hAnsi="Times New Roman;serif"/>
          <w:b w:val="false"/>
          <w:color w:val="000000"/>
          <w:sz w:val="24"/>
        </w:rPr>
        <w:t>means permanent and total disability as defined in Section 22(e)(3) of the Code.</w:t>
      </w:r>
    </w:p>
    <w:p>
      <w:pPr>
        <w:pStyle w:val="TextBody"/>
        <w:bidi w:val="0"/>
        <w:spacing w:lineRule="auto" w:line="268" w:before="240" w:after="240"/>
        <w:jc w:val="both"/>
        <w:rPr/>
      </w:pPr>
      <w:r>
        <w:rPr>
          <w:rFonts w:ascii="Times New Roman;serif" w:hAnsi="Times New Roman;serif"/>
          <w:b w:val="false"/>
          <w:color w:val="000000"/>
          <w:sz w:val="24"/>
          <w:u w:val="single"/>
        </w:rPr>
        <w:t>Eligible Individual</w:t>
      </w:r>
      <w:r>
        <w:rPr>
          <w:color w:val="000000"/>
        </w:rPr>
        <w:t xml:space="preserve"> </w:t>
      </w:r>
      <w:r>
        <w:rPr>
          <w:rFonts w:ascii="Times New Roman;serif" w:hAnsi="Times New Roman;serif"/>
          <w:b w:val="false"/>
          <w:color w:val="000000"/>
          <w:sz w:val="24"/>
        </w:rPr>
        <w:t>means an individual who becomes an Employee and who either (i) was not previously an Employee or director of the Company or of an Affiliate, or (ii) incurred a bona fide period of non-employment as determined under Rule 5635(c)(4) of the Nasdaq Listing Rules.</w:t>
      </w:r>
    </w:p>
    <w:p>
      <w:pPr>
        <w:pStyle w:val="TextBody"/>
        <w:bidi w:val="0"/>
        <w:spacing w:lineRule="auto" w:line="268" w:before="240" w:after="240"/>
        <w:jc w:val="both"/>
        <w:rPr/>
      </w:pPr>
      <w:r>
        <w:rPr>
          <w:rFonts w:ascii="Times New Roman;serif" w:hAnsi="Times New Roman;serif"/>
          <w:b w:val="false"/>
          <w:color w:val="000000"/>
          <w:sz w:val="24"/>
          <w:u w:val="single"/>
        </w:rPr>
        <w:t>Employee</w:t>
      </w:r>
      <w:r>
        <w:rPr>
          <w:color w:val="000000"/>
        </w:rPr>
        <w:t xml:space="preserve"> </w:t>
      </w:r>
      <w:r>
        <w:rPr>
          <w:rFonts w:ascii="Times New Roman;serif" w:hAnsi="Times New Roman;serif"/>
          <w:b w:val="false"/>
          <w:color w:val="000000"/>
          <w:sz w:val="24"/>
        </w:rPr>
        <w:t>means any employee of the Company or of an Affiliate (including, without limitation, an employee who is also serving as an officer or director of the Company or of an Affiliate).</w:t>
      </w:r>
    </w:p>
    <w:p>
      <w:pPr>
        <w:pStyle w:val="TextBody"/>
        <w:bidi w:val="0"/>
        <w:spacing w:lineRule="auto" w:line="268" w:before="240" w:after="240"/>
        <w:jc w:val="both"/>
        <w:rPr/>
      </w:pP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United States Securities Exchange Act of 1934, as amended.</w:t>
      </w:r>
    </w:p>
    <w:p>
      <w:pPr>
        <w:pStyle w:val="TextBody"/>
        <w:bidi w:val="0"/>
        <w:spacing w:lineRule="auto" w:line="268" w:before="240" w:after="240"/>
        <w:jc w:val="both"/>
        <w:rPr/>
      </w:pPr>
      <w:r>
        <w:rPr>
          <w:rFonts w:ascii="Times New Roman;serif" w:hAnsi="Times New Roman;serif"/>
          <w:b w:val="false"/>
          <w:color w:val="000000"/>
          <w:sz w:val="24"/>
          <w:u w:val="single"/>
        </w:rPr>
        <w:t>Fair Market Value</w:t>
      </w:r>
      <w:r>
        <w:rPr>
          <w:color w:val="000000"/>
        </w:rPr>
        <w:t xml:space="preserve"> </w:t>
      </w:r>
      <w:r>
        <w:rPr>
          <w:rFonts w:ascii="Times New Roman;serif" w:hAnsi="Times New Roman;serif"/>
          <w:b w:val="false"/>
          <w:color w:val="000000"/>
          <w:sz w:val="24"/>
        </w:rPr>
        <w:t>of a Share of Common Stock means:</w:t>
      </w:r>
    </w:p>
    <w:p>
      <w:pPr>
        <w:pStyle w:val="TextBody"/>
        <w:bidi w:val="0"/>
        <w:spacing w:lineRule="auto" w:line="276"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     If the Common Stock is listed on a national securities exchange or traded in the over</w:t>
        <w:noBreakHyphen/>
        <w:t>the</w:t>
        <w:noBreakHyphen/>
        <w:t xml:space="preserve">counter market and sales prices are regularly reported for the Common Stock, the closing or, if not applicable, the last price of the Common Stock on the composite tape or other comparable reporting system for the trading day on the applicable date and if such applicable date is not a trading day, the last market trading day prior to such date; </w:t>
      </w:r>
    </w:p>
    <w:p>
      <w:pPr>
        <w:pStyle w:val="TextBody"/>
        <w:bidi w:val="0"/>
        <w:spacing w:lineRule="auto" w:line="276"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If the Common Stock is not traded on a national securities exchange but is traded on the over</w:t>
        <w:noBreakHyphen/>
        <w:t>the</w:t>
        <w:noBreakHyphen/>
        <w:t>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trading day on which Common Stock was traded on the applicable date and if such applicable date is not a trading day, the last market trading day prior to such date; and</w:t>
      </w:r>
    </w:p>
    <w:p>
      <w:pPr>
        <w:pStyle w:val="TextBody"/>
        <w:bidi w:val="0"/>
        <w:spacing w:lineRule="auto" w:line="276"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    If the Common Stock is neither listed on a national securities exchange nor traded in the over</w:t>
        <w:noBreakHyphen/>
        <w:t>the</w:t>
        <w:noBreakHyphen/>
        <w:t>counter market, such value as the Administrator, in good faith, shall determine in compliance with applicable laws.</w:t>
      </w:r>
    </w:p>
    <w:p>
      <w:pPr>
        <w:pStyle w:val="TextBody"/>
        <w:bidi w:val="0"/>
        <w:spacing w:lineRule="auto" w:line="268" w:before="240" w:after="240"/>
        <w:jc w:val="both"/>
        <w:rPr/>
      </w:pPr>
      <w:r>
        <w:rPr>
          <w:rFonts w:ascii="Times New Roman;serif" w:hAnsi="Times New Roman;serif"/>
          <w:b w:val="false"/>
          <w:color w:val="000000"/>
          <w:sz w:val="24"/>
          <w:u w:val="single"/>
        </w:rPr>
        <w:t>Non</w:t>
        <w:noBreakHyphen/>
        <w:t>Qualified Option</w:t>
      </w:r>
      <w:r>
        <w:rPr>
          <w:color w:val="000000"/>
        </w:rPr>
        <w:t xml:space="preserve"> </w:t>
      </w:r>
      <w:r>
        <w:rPr>
          <w:rFonts w:ascii="Times New Roman;serif" w:hAnsi="Times New Roman;serif"/>
          <w:b w:val="false"/>
          <w:color w:val="000000"/>
          <w:sz w:val="24"/>
        </w:rPr>
        <w:t>means an option which is not intended to qualify as an incentive stock option under Section 422 of the Code.</w:t>
      </w:r>
    </w:p>
    <w:p>
      <w:pPr>
        <w:pStyle w:val="TextBody"/>
        <w:bidi w:val="0"/>
        <w:spacing w:lineRule="auto" w:line="268" w:before="240" w:after="240"/>
        <w:jc w:val="both"/>
        <w:rPr/>
      </w:pPr>
      <w:r>
        <w:rPr>
          <w:rFonts w:ascii="Times New Roman;serif" w:hAnsi="Times New Roman;serif"/>
          <w:b w:val="false"/>
          <w:color w:val="000000"/>
          <w:sz w:val="24"/>
          <w:u w:val="single"/>
        </w:rPr>
        <w:t>Option</w:t>
      </w:r>
      <w:r>
        <w:rPr>
          <w:color w:val="000000"/>
        </w:rPr>
        <w:t xml:space="preserve"> </w:t>
      </w:r>
      <w:r>
        <w:rPr>
          <w:rFonts w:ascii="Times New Roman;serif" w:hAnsi="Times New Roman;serif"/>
          <w:b w:val="false"/>
          <w:color w:val="000000"/>
          <w:sz w:val="24"/>
        </w:rPr>
        <w:t>means a Non</w:t>
        <w:noBreakHyphen/>
        <w:t>Qualified Option granted under the Plan.</w:t>
      </w:r>
    </w:p>
    <w:p>
      <w:pPr>
        <w:pStyle w:val="TextBody"/>
        <w:bidi w:val="0"/>
        <w:spacing w:lineRule="auto" w:line="268" w:before="240" w:after="240"/>
        <w:jc w:val="both"/>
        <w:rPr/>
      </w:pP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means an Eligible Individual to whom one or more Stock Rights are granted under the Plan. As used herein, “Participant” shall include the Participant’s “Survivors” where the context requires.</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means this Quanterix Corporation Amended and Restated 2025 Inducement Plan.</w:t>
      </w:r>
    </w:p>
    <w:p>
      <w:pPr>
        <w:pStyle w:val="TextBody"/>
        <w:bidi w:val="0"/>
        <w:spacing w:lineRule="auto" w:line="268" w:before="240" w:after="240"/>
        <w:jc w:val="both"/>
        <w:rPr/>
      </w:pP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as amended.</w:t>
      </w:r>
    </w:p>
    <w:p>
      <w:pPr>
        <w:pStyle w:val="TextBody"/>
        <w:bidi w:val="0"/>
        <w:spacing w:lineRule="auto" w:line="268" w:before="240" w:after="240"/>
        <w:jc w:val="both"/>
        <w:rPr/>
      </w:pPr>
      <w:r>
        <w:rPr>
          <w:rFonts w:ascii="Times New Roman;serif" w:hAnsi="Times New Roman;serif"/>
          <w:b w:val="false"/>
          <w:color w:val="000000"/>
          <w:sz w:val="24"/>
          <w:u w:val="single"/>
        </w:rPr>
        <w:t>Shares</w:t>
      </w:r>
      <w:r>
        <w:rPr>
          <w:color w:val="000000"/>
        </w:rPr>
        <w:t xml:space="preserve"> </w:t>
      </w:r>
      <w:r>
        <w:rPr>
          <w:rFonts w:ascii="Times New Roman;serif" w:hAnsi="Times New Roman;serif"/>
          <w:b w:val="false"/>
          <w:color w:val="000000"/>
          <w:sz w:val="24"/>
        </w:rPr>
        <w:t>means shares of the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pStyle w:val="TextBody"/>
        <w:bidi w:val="0"/>
        <w:spacing w:lineRule="auto" w:line="268" w:before="240" w:after="240"/>
        <w:jc w:val="both"/>
        <w:rPr/>
      </w:pPr>
      <w:r>
        <w:rPr>
          <w:rFonts w:ascii="Times New Roman;serif" w:hAnsi="Times New Roman;serif"/>
          <w:b w:val="false"/>
          <w:color w:val="000000"/>
          <w:sz w:val="24"/>
          <w:u w:val="single"/>
        </w:rPr>
        <w:t>Stock-Based Award</w:t>
      </w:r>
      <w:r>
        <w:rPr>
          <w:color w:val="000000"/>
        </w:rPr>
        <w:t xml:space="preserve"> </w:t>
      </w:r>
      <w:r>
        <w:rPr>
          <w:rFonts w:ascii="Times New Roman;serif" w:hAnsi="Times New Roman;serif"/>
          <w:b w:val="false"/>
          <w:color w:val="000000"/>
          <w:sz w:val="24"/>
        </w:rPr>
        <w:t>means a grant by the Company under the Plan of an equity award or an equity based award which is not an Option or a Stock Grant.</w:t>
      </w:r>
    </w:p>
    <w:p>
      <w:pPr>
        <w:pStyle w:val="TextBody"/>
        <w:bidi w:val="0"/>
        <w:spacing w:lineRule="auto" w:line="268" w:before="240" w:after="240"/>
        <w:jc w:val="both"/>
        <w:rPr/>
      </w:pPr>
      <w:r>
        <w:rPr>
          <w:rFonts w:ascii="Times New Roman;serif" w:hAnsi="Times New Roman;serif"/>
          <w:b w:val="false"/>
          <w:color w:val="000000"/>
          <w:sz w:val="24"/>
          <w:u w:val="single"/>
        </w:rPr>
        <w:t>Stock Grant</w:t>
      </w:r>
      <w:r>
        <w:rPr>
          <w:color w:val="000000"/>
        </w:rPr>
        <w:t xml:space="preserve"> </w:t>
      </w:r>
      <w:r>
        <w:rPr>
          <w:rFonts w:ascii="Times New Roman;serif" w:hAnsi="Times New Roman;serif"/>
          <w:b w:val="false"/>
          <w:color w:val="000000"/>
          <w:sz w:val="24"/>
        </w:rPr>
        <w:t>means a grant by the Company of Shares under the Plan.</w:t>
      </w:r>
    </w:p>
    <w:p>
      <w:pPr>
        <w:pStyle w:val="TextBody"/>
        <w:bidi w:val="0"/>
        <w:spacing w:lineRule="auto" w:line="268" w:before="240" w:after="240"/>
        <w:jc w:val="both"/>
        <w:rPr/>
      </w:pPr>
      <w:r>
        <w:rPr>
          <w:rFonts w:ascii="Times New Roman;serif" w:hAnsi="Times New Roman;serif"/>
          <w:b w:val="false"/>
          <w:color w:val="000000"/>
          <w:sz w:val="24"/>
          <w:u w:val="single"/>
        </w:rPr>
        <w:t>Stock Right</w:t>
      </w:r>
      <w:r>
        <w:rPr>
          <w:color w:val="000000"/>
        </w:rPr>
        <w:t xml:space="preserve"> </w:t>
      </w:r>
      <w:r>
        <w:rPr>
          <w:rFonts w:ascii="Times New Roman;serif" w:hAnsi="Times New Roman;serif"/>
          <w:b w:val="false"/>
          <w:color w:val="000000"/>
          <w:sz w:val="24"/>
        </w:rPr>
        <w:t>means a right to Shares or the value of Shares of the Company granted pursuant to the Plan -- a Non-Qualified Option, a Stock Grant or a Stock-Based Award.</w:t>
      </w:r>
    </w:p>
    <w:p>
      <w:pPr>
        <w:pStyle w:val="TextBody"/>
        <w:bidi w:val="0"/>
        <w:spacing w:lineRule="auto" w:line="268" w:before="240" w:after="240"/>
        <w:jc w:val="both"/>
        <w:rPr/>
      </w:pPr>
      <w:r>
        <w:rPr>
          <w:rFonts w:ascii="Times New Roman;serif" w:hAnsi="Times New Roman;serif"/>
          <w:b w:val="false"/>
          <w:color w:val="000000"/>
          <w:sz w:val="24"/>
          <w:u w:val="single"/>
        </w:rPr>
        <w:t>Survivor</w:t>
      </w:r>
      <w:r>
        <w:rPr>
          <w:color w:val="000000"/>
        </w:rPr>
        <w:t xml:space="preserve"> </w:t>
      </w:r>
      <w:r>
        <w:rPr>
          <w:rFonts w:ascii="Times New Roman;serif" w:hAnsi="Times New Roman;serif"/>
          <w:b w:val="false"/>
          <w:color w:val="000000"/>
          <w:sz w:val="24"/>
        </w:rPr>
        <w:t>means a deceased Participant’s legal representatives and/or any person or persons who acquired the Participant’s rights to a Stock Right by will or by the laws of descent and distribution.</w:t>
      </w:r>
    </w:p>
    <w:p>
      <w:pPr>
        <w:pStyle w:val="TextBody"/>
        <w:bidi w:val="0"/>
        <w:spacing w:lineRule="auto" w:line="268" w:before="240" w:after="240"/>
        <w:ind w:left="0" w:right="0" w:hanging="36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PURPOSES OF THE PLAN</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Plan is intended to enhance the Company’s and its Affiliates’ ability to attract and retain persons who are expected to make important contributions to the Company and its Affiliates by providing these individuals with equity ownership opportunities in order to induce such individuals to enter into employment with the Company or its Affiliates. The Plan provides for the granting and awarding of Non</w:t>
        <w:noBreakHyphen/>
        <w:t>Qualified Options, Stock Grants and Stock-Based Awards. The Plan is intended to meet the requirements of a plan providing for inducement grants under Rule 5635(c)(4) of the Nasdaq Listing Rules and shall be administered in accordance with such intent.</w:t>
      </w:r>
    </w:p>
    <w:p>
      <w:pPr>
        <w:pStyle w:val="TextBody"/>
        <w:bidi w:val="0"/>
        <w:spacing w:lineRule="auto" w:line="268" w:before="240" w:after="240"/>
        <w:ind w:left="0" w:right="0" w:hanging="36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SHARES SUBJECT TO THE PLAN</w:t>
      </w:r>
      <w:r>
        <w:rPr>
          <w:rFonts w:ascii="Times New Roman;serif" w:hAnsi="Times New Roman;serif"/>
          <w:b w:val="false"/>
          <w:color w:val="000000"/>
          <w:sz w:val="24"/>
        </w:rPr>
        <w:t>.</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The number of Shares which may be issued from time to time pursuant to this Plan shall be 3,308,465, or the equivalent of such number of Shares after the Administrator, in its sole discretion, has interpreted the effect of any stock split, stock dividend, combination, recapitalization or similar transaction in accordance with Paragraph 24 of this Plan.</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Notwithstanding the foregoing, if a Stock Right is exercised, in whole or in part, by tender of Shares or if the Company or an Affiliate’s tax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withholding obligation is satisfied by withholding Shares, the number of Shares deemed to have been issued under the Plan for purposes of the limitation set forth in Paragraph 3(a) above shall be the number of Shares that were subject to the Stock Right or portion thereof, and not the net number of Shares actually issued. </w:t>
      </w:r>
    </w:p>
    <w:p>
      <w:pPr>
        <w:pStyle w:val="TextBody"/>
        <w:bidi w:val="0"/>
        <w:spacing w:lineRule="auto" w:line="268" w:before="240" w:after="240"/>
        <w:ind w:left="0" w:right="0" w:hanging="36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ADMINISTRATION OF THE PLAN</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Interpret the provisions of the Plan and all Stock Rights and to make all rules and determinations which it deems necessary or advisable for the administration of the Plan;</w:t>
      </w:r>
    </w:p>
    <w:p>
      <w:pPr>
        <w:pStyle w:val="TextBody"/>
        <w:bidi w:val="0"/>
        <w:spacing w:lineRule="auto" w:line="268" w:before="240" w:after="240"/>
        <w:ind w:left="0" w:right="0" w:firstLine="720"/>
        <w:jc w:val="both"/>
        <w:rPr/>
      </w:pPr>
      <w:r>
        <w:rPr>
          <w:rFonts w:ascii="Times New Roman;serif" w:hAnsi="Times New Roman;serif"/>
          <w:b w:val="false"/>
          <w:color w:val="000000"/>
          <w:sz w:val="24"/>
        </w:rPr>
        <w:t xml:space="preserve">(b)    Determine which Eligible Individuals shall be granted Stock Rights;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notwithstanding the foregoing or anything in the Plan to the contrary, the grant of each Stock Right must be approved by the Committee or a majority of the Company’s independent directors (as defined in Rule 5605(a)(2) of the Nasdaq Listing Rules) in order to comply with the exemption from the shareholder approval requirement for “inducement grants” provided under Rule 5635(c)(4) of the Nasdaq Listing Rules;</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Determine the number of Shares for which a Stock Right or Stock Rights shall be granted;</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Specify the terms and conditions upon which a Stock Right or Stock Rights may be granted; </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Amend any term or condition of any outstanding Stock Right, other than reducing the exercise price or purchase price or extending the expiration date of an Option, provided that (i) such term or condition as amended is not prohibited by the Plan; (ii) any such amendment shall not impair the rights of a Participant under any Stock Right previously granted without such Participant’s consent or in the event of death of the Participant the Participant’s Survivors; and (iii) any such amendment shall be made only after the Administrator determines whether such amendment would cause any adverse tax consequences to the Participant; and</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Adopt any sub-plans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sub-plans may include additional restrictions or conditions applicable to Stock Rights or Shares issuable pursuant to a Stock Right;</w:t>
      </w:r>
    </w:p>
    <w:p>
      <w:pPr>
        <w:pStyle w:val="TextBody"/>
        <w:bidi w:val="0"/>
        <w:spacing w:lineRule="auto" w:line="268" w:before="240" w:after="240"/>
        <w:jc w:val="both"/>
        <w:rPr>
          <w:rFonts w:ascii="Times New Roman;serif" w:hAnsi="Times New Roman;serif"/>
          <w:b w:val="false"/>
          <w:color w:val="000000"/>
          <w:sz w:val="24"/>
        </w:rPr>
      </w:pPr>
      <w:r>
        <w:rPr>
          <w:rFonts w:ascii="Times New Roman;serif" w:hAnsi="Times New Roman;serif"/>
          <w:b w:val="false"/>
          <w:color w:val="000000"/>
          <w:sz w:val="24"/>
        </w:rPr>
        <w:t>provided, however, that all such interpretations, rules, determinations, terms and conditions shall be made and prescribed in the context of not causing any adverse tax consequences under Section 409A of the Code. 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240"/>
        <w:ind w:left="0" w:right="0" w:firstLine="720"/>
        <w:jc w:val="both"/>
        <w:rPr/>
      </w:pPr>
      <w:r>
        <w:rPr>
          <w:rFonts w:ascii="Times New Roman;serif" w:hAnsi="Times New Roman;serif"/>
          <w:b w:val="false"/>
          <w:color w:val="000000"/>
          <w:sz w:val="24"/>
        </w:rPr>
        <w:t xml:space="preserve">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w:t>
      </w:r>
      <w:r>
        <w:rPr>
          <w:rFonts w:ascii="Times New Roman;serif" w:hAnsi="Times New Roman;serif"/>
          <w:b w:val="false"/>
          <w:i/>
          <w:color w:val="000000"/>
          <w:sz w:val="24"/>
        </w:rPr>
        <w:t>provided</w:t>
      </w:r>
      <w:r>
        <w:rPr>
          <w:rFonts w:ascii="Times New Roman;serif" w:hAnsi="Times New Roman;serif"/>
          <w:b w:val="false"/>
          <w:color w:val="000000"/>
          <w:sz w:val="24"/>
        </w:rPr>
        <w:t>, that the Board of Directors or the Committee may not delegate any authority that would cause Stock Rights under the Plan to fail to comply with the exemption from the shareholder approval requirement for “inducement grants” provided under Rule 5635(c)(4) of the Nasdaq Listing Rules; provided, further, that in no event shall an officer of the Company be delegated the authority to amend Stock Rights held by any “officer” of the Company as defined by Rule 16a-1 under the Exchange Act.</w:t>
      </w:r>
    </w:p>
    <w:p>
      <w:pPr>
        <w:pStyle w:val="TextBody"/>
        <w:bidi w:val="0"/>
        <w:spacing w:lineRule="auto" w:line="268" w:before="240" w:after="240"/>
        <w:ind w:left="0" w:right="0" w:hanging="36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ELIGIBILITY FOR PARTICIPATION</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Administrator will, in its sole discretion, name the Participants in the Plan; provided, however, that each Participant must be an Eligible Individual. Notwithstanding the foregoing, the Administrator may authorize the grant of a Stock Right to a person not then an Employee of the Company or of an Affiliate; provided, however, that the actual grant of such Stock Right shall be conditioned upon such person becoming eligible to become a Participant at or prior to the time of the execution of the Agreement evidencing such Stock Right. The granting of any Stock Right to any individual shall neither entitle that individual to, nor disqualify him or her from, participation in any other grant of Stock Rights or any grant under any other benefit plan established by the Company or any Affiliate for Employees, directors or Consultants.</w:t>
      </w:r>
    </w:p>
    <w:p>
      <w:pPr>
        <w:pStyle w:val="TextBody"/>
        <w:bidi w:val="0"/>
        <w:spacing w:lineRule="auto" w:line="268" w:before="240" w:after="240"/>
        <w:ind w:left="0" w:right="0" w:hanging="36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TERMS AND CONDITIONS OF OPTIONS</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Option shall be set forth in writing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Each Option is intended to be a Non</w:t>
        <w:noBreakHyphen/>
        <w:t>Qualified Option and shall be subject to the terms and conditions which the Administrator determines to be appropriate and in the best interest of the Company, subject to the following minimum standards for any such Non</w:t>
        <w:noBreakHyphen/>
        <w:t>Qualified Option:</w:t>
      </w:r>
    </w:p>
    <w:p>
      <w:pPr>
        <w:pStyle w:val="TextBody"/>
        <w:bidi w:val="0"/>
        <w:spacing w:lineRule="auto" w:line="268" w:before="24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Exercise Price</w:t>
      </w:r>
      <w:r>
        <w:rPr>
          <w:rFonts w:ascii="Times New Roman;serif" w:hAnsi="Times New Roman;serif"/>
          <w:b w:val="false"/>
          <w:color w:val="000000"/>
          <w:sz w:val="24"/>
        </w:rPr>
        <w:t>: Each Option Agreement shall state the exercise price (per share) of the Shares covered by each Option, which exercise price shall be determined by the Administrator and shall be at least equal to the Fair Market Value per share of Common Stock on the date of grant of the Option.</w:t>
      </w:r>
    </w:p>
    <w:p>
      <w:pPr>
        <w:pStyle w:val="TextBody"/>
        <w:bidi w:val="0"/>
        <w:spacing w:lineRule="auto" w:line="268" w:before="24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Number of Shares</w:t>
      </w:r>
      <w:r>
        <w:rPr>
          <w:rFonts w:ascii="Times New Roman;serif" w:hAnsi="Times New Roman;serif"/>
          <w:b w:val="false"/>
          <w:color w:val="000000"/>
          <w:sz w:val="24"/>
        </w:rPr>
        <w:t>: Each Option Agreement shall state the number of Shares to which it pertains.</w:t>
      </w:r>
    </w:p>
    <w:p>
      <w:pPr>
        <w:pStyle w:val="TextBody"/>
        <w:bidi w:val="0"/>
        <w:spacing w:lineRule="auto" w:line="268" w:before="24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Vesting</w:t>
      </w:r>
      <w:r>
        <w:rPr>
          <w:rFonts w:ascii="Times New Roman;serif" w:hAnsi="Times New Roman;serif"/>
          <w:b w:val="false"/>
          <w:color w:val="000000"/>
          <w:sz w:val="24"/>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performance conditions or the attainment of stated goals or events.</w:t>
      </w:r>
    </w:p>
    <w:p>
      <w:pPr>
        <w:pStyle w:val="TextBody"/>
        <w:bidi w:val="0"/>
        <w:spacing w:lineRule="auto" w:line="268" w:before="240" w:after="240"/>
        <w:ind w:left="0" w:right="0" w:firstLine="720"/>
        <w:jc w:val="both"/>
        <w:rPr/>
      </w:pPr>
      <w:r>
        <w:rPr>
          <w:rFonts w:ascii="Times New Roman;serif" w:hAnsi="Times New Roman;serif"/>
          <w:b w:val="false"/>
          <w:color w:val="000000"/>
          <w:sz w:val="24"/>
          <w:u w:val="single"/>
        </w:rPr>
        <w:t>(d)</w:t>
      </w:r>
      <w:r>
        <w:rPr>
          <w:color w:val="000000"/>
        </w:rPr>
        <w:t>    </w:t>
      </w:r>
      <w:r>
        <w:rPr>
          <w:rFonts w:ascii="Times New Roman;serif" w:hAnsi="Times New Roman;serif"/>
          <w:b w:val="false"/>
          <w:color w:val="000000"/>
          <w:sz w:val="24"/>
          <w:u w:val="single"/>
        </w:rPr>
        <w:t>Additional Conditions</w:t>
      </w:r>
      <w:r>
        <w:rPr>
          <w:rFonts w:ascii="Times New Roman;serif" w:hAnsi="Times New Roman;serif"/>
          <w:b w:val="false"/>
          <w:color w:val="000000"/>
          <w:sz w:val="24"/>
        </w:rPr>
        <w:t xml:space="preserve">: Exercise of any Option may be conditioned upon the Participant’s execution of a Share purchase agreement in a form satisfactory to the Administrator </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240"/>
        <w:jc w:val="both"/>
        <w:rPr>
          <w:rFonts w:ascii="Times New Roman;serif" w:hAnsi="Times New Roman;serif"/>
          <w:b w:val="false"/>
          <w:color w:val="000000"/>
          <w:sz w:val="24"/>
        </w:rPr>
      </w:pPr>
      <w:r>
        <w:rPr>
          <w:rFonts w:ascii="Times New Roman;serif" w:hAnsi="Times New Roman;serif"/>
          <w:b w:val="false"/>
          <w:color w:val="000000"/>
          <w:sz w:val="24"/>
        </w:rPr>
        <w:t>providing for certain protections for the Company and its other stockholders, including requirements that:</w:t>
      </w:r>
    </w:p>
    <w:p>
      <w:pPr>
        <w:pStyle w:val="TextBody"/>
        <w:bidi w:val="0"/>
        <w:spacing w:lineRule="auto" w:line="268" w:before="240" w:after="240"/>
        <w:ind w:left="0" w:right="0" w:hanging="487"/>
        <w:jc w:val="both"/>
        <w:rPr>
          <w:rFonts w:ascii="Times New Roman;serif" w:hAnsi="Times New Roman;serif"/>
          <w:b w:val="false"/>
          <w:color w:val="000000"/>
          <w:sz w:val="24"/>
        </w:rPr>
      </w:pPr>
      <w:r>
        <w:rPr>
          <w:rFonts w:ascii="Times New Roman;serif" w:hAnsi="Times New Roman;serif"/>
          <w:b w:val="false"/>
          <w:color w:val="000000"/>
          <w:sz w:val="24"/>
        </w:rPr>
        <w:t>i.The Participant’s or the Participant’s Survivors’ right to sell or transfer the Shares may be restricted; and</w:t>
      </w:r>
    </w:p>
    <w:p>
      <w:pPr>
        <w:pStyle w:val="TextBody"/>
        <w:bidi w:val="0"/>
        <w:spacing w:lineRule="auto" w:line="268" w:before="240" w:after="240"/>
        <w:ind w:left="0" w:right="0" w:hanging="553"/>
        <w:jc w:val="both"/>
        <w:rPr>
          <w:rFonts w:ascii="Times New Roman;serif" w:hAnsi="Times New Roman;serif"/>
          <w:b w:val="false"/>
          <w:color w:val="000000"/>
          <w:sz w:val="24"/>
        </w:rPr>
      </w:pPr>
      <w:r>
        <w:rPr>
          <w:rFonts w:ascii="Times New Roman;serif" w:hAnsi="Times New Roman;serif"/>
          <w:b w:val="false"/>
          <w:color w:val="000000"/>
          <w:sz w:val="24"/>
        </w:rPr>
        <w:t>ii.The Participant or the Participant’s Survivors may be required to execute letters of investment intent and must also acknowledge that the Shares will bear legends noting any applicable restrictions.</w:t>
      </w:r>
    </w:p>
    <w:p>
      <w:pPr>
        <w:pStyle w:val="TextBody"/>
        <w:bidi w:val="0"/>
        <w:spacing w:lineRule="auto" w:line="268" w:before="24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Term of Option</w:t>
      </w:r>
      <w:r>
        <w:rPr>
          <w:rFonts w:ascii="Times New Roman;serif" w:hAnsi="Times New Roman;serif"/>
          <w:b w:val="false"/>
          <w:color w:val="000000"/>
          <w:sz w:val="24"/>
        </w:rPr>
        <w:t>: Each Option shall terminate not more than ten years from the date of the grant or at such earlier time as the Option Agreement may provide.</w:t>
      </w:r>
    </w:p>
    <w:p>
      <w:pPr>
        <w:pStyle w:val="TextBody"/>
        <w:bidi w:val="0"/>
        <w:spacing w:lineRule="auto" w:line="268" w:before="240" w:after="240"/>
        <w:ind w:left="0" w:right="0" w:hanging="36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TERMS AND CONDITIONS OF STOCK GRANTS</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pStyle w:val="TextBody"/>
        <w:bidi w:val="0"/>
        <w:spacing w:lineRule="auto" w:line="268" w:before="240" w:after="240"/>
        <w:ind w:left="0" w:right="0" w:firstLine="720"/>
        <w:jc w:val="both"/>
        <w:rPr/>
      </w:pPr>
      <w:r>
        <w:rPr>
          <w:rFonts w:ascii="Times New Roman;serif" w:hAnsi="Times New Roman;serif"/>
          <w:b w:val="false"/>
          <w:color w:val="000000"/>
          <w:sz w:val="24"/>
        </w:rPr>
        <w:t>(a)    Each Agreement shall state the purchase price per share, if any, of the Shares covered by each Stock Grant, which purchase price shall be determined by the Administrator but shall not be less than the minimum consideration required by the</w:t>
      </w:r>
      <w:r>
        <w:rPr>
          <w:color w:val="000000"/>
        </w:rPr>
        <w:t xml:space="preserve"> </w:t>
      </w:r>
      <w:r>
        <w:rPr>
          <w:rFonts w:ascii="Times New Roman;serif" w:hAnsi="Times New Roman;serif"/>
          <w:b w:val="false"/>
          <w:color w:val="000000"/>
          <w:sz w:val="24"/>
        </w:rPr>
        <w:t>Delaware General Corporation Law, if any, on the date of the grant of the Stock Grant;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Each Agreement shall state the number of Shares to which the Stock Grant pertains; and</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Each Agreement shall include the terms of any right of the Company to restrict or reacquire the Shares subject to the Stock Grant.</w:t>
      </w:r>
    </w:p>
    <w:p>
      <w:pPr>
        <w:pStyle w:val="TextBody"/>
        <w:bidi w:val="0"/>
        <w:spacing w:lineRule="auto" w:line="268" w:before="240" w:after="240"/>
        <w:ind w:left="0" w:right="0" w:hanging="36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TERMS AND CONDITIONS OF OTHER STOCK-BASED AWARDS</w:t>
      </w:r>
      <w:r>
        <w:rPr>
          <w:rFonts w:ascii="Times New Roman;serif" w:hAnsi="Times New Roman;serif"/>
          <w:b w:val="false"/>
          <w:color w:val="000000"/>
          <w:sz w:val="24"/>
        </w:rPr>
        <w:t xml:space="preserve">. </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Administrator shall have the right to grant other Stock-Based Awards based upon the Common Stock having such terms and conditions as the Administrator may determine, including, without limitation, the grant of Shares based upon certain conditions, the grant of securities convertible into Shares and the grant of stock appreciation rights,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Each Agreement shall include the terms of any right of the Company including the right to terminate the Stock-Based Award without the issuance of Shares, the terms of any vesting conditions or events upon which Shares shall be issued. Under no circumstances may the Agreement covering stock appreciation rights (a) have an exercise price (per share) that is less than the Fair Market Value per share of Common Stock on the date of grant or (b) expire more than ten years following the date of grant.</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intends that the Plan and any Stock-Based Awards granted hereunder be exempt from the application of Section 409A of the Code or meet the requirements of paragraphs (2), (3) and (4) of subsection (a) of Section 409A of the Code, to the extent applicable, and be operated in accordance with Section 409A so that any compensation deferred under any Stock-Based Award (and applicable investment earnings) shall not be included in income under Section 409A of the Code. Any ambiguities in the Plan shall be construed to effect the intent as described in this Paragraph 8.</w:t>
      </w:r>
    </w:p>
    <w:p>
      <w:pPr>
        <w:pStyle w:val="TextBody"/>
        <w:bidi w:val="0"/>
        <w:spacing w:lineRule="auto" w:line="268" w:before="240" w:after="240"/>
        <w:ind w:left="0" w:right="0" w:hanging="36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EXERCISE OF OPTIONS AND ISSUE OF SHARES</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9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in accordance with a cashless exercise program established with a securities brokerage firm, and approved by the Administrator; or (e) at the discretion of the Administrator, by any combination of (a), (b), (c) and (d) above; or (f) at the discretion of the Administrator, by payment of such other lawful consideration as the Administrator may determine. </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 The Shares shall, upon delivery, be fully paid, non-assessable Shares.</w:t>
      </w:r>
    </w:p>
    <w:p>
      <w:pPr>
        <w:pStyle w:val="TextBody"/>
        <w:bidi w:val="0"/>
        <w:spacing w:lineRule="auto" w:line="268" w:before="240" w:after="240"/>
        <w:ind w:left="0" w:right="0" w:hanging="36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PAYMENT IN CONNECTION WITH THE ISSUANCE OF STOCK GRANTS AND STOCK-BASED AWARDS AND ISSUE OF SHARES</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 Common Stock held for at least six months (if required to avoid negative accounting treatment) and having a Fair Market Value equal as of the date of payment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240"/>
        <w:jc w:val="both"/>
        <w:rPr>
          <w:rFonts w:ascii="Times New Roman;serif" w:hAnsi="Times New Roman;serif"/>
          <w:b w:val="false"/>
          <w:color w:val="000000"/>
          <w:sz w:val="24"/>
        </w:rPr>
      </w:pPr>
      <w:r>
        <w:rPr>
          <w:rFonts w:ascii="Times New Roman;serif" w:hAnsi="Times New Roman;serif"/>
          <w:b w:val="false"/>
          <w:color w:val="000000"/>
          <w:sz w:val="24"/>
        </w:rPr>
        <w:t>purchase price of the Stock Grant or Stock-Based Award; or (c) at the discretion of the Administrator, by any combination of (a) and (b) above; or (d) at the discretion of the Administrator, by payment of such other lawful consideration as the Administrator may determine.</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w:t>
      </w:r>
    </w:p>
    <w:p>
      <w:pPr>
        <w:pStyle w:val="TextBody"/>
        <w:bidi w:val="0"/>
        <w:spacing w:lineRule="auto" w:line="268" w:before="240" w:after="240"/>
        <w:ind w:left="0" w:right="0" w:hanging="36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RIGHTS AS A STOCKHOLDER</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Participant to whom a Stock Right has been granted shall have rights as a stockholder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w:t>
      </w:r>
    </w:p>
    <w:p>
      <w:pPr>
        <w:pStyle w:val="TextBody"/>
        <w:bidi w:val="0"/>
        <w:spacing w:lineRule="auto" w:line="268" w:before="240" w:after="240"/>
        <w:ind w:left="0" w:right="0" w:hanging="36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ASSIGNABILITY AND TRANSFERABILITY OF STOCK RIGHTS</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The designation of a beneficiary of a Stock Right by a Participant, with the prior approval of the Administrator and in such form as the Administrator shall prescribe, shall not be deemed a transfer prohibited by this Paragraph 12.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pStyle w:val="TextBody"/>
        <w:bidi w:val="0"/>
        <w:spacing w:lineRule="auto" w:line="268" w:before="240" w:after="240"/>
        <w:ind w:left="0" w:right="0" w:hanging="36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EFFECT ON OPTIONS OF TERMINATION OF SERVICE OTHER THAN FOR CAUSE OR DEATH OR DISABILITY</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in a Participant’s Option Agreement, in the event of a termination of service (whether as an Employee, director or Consultant) with the Company or an Affiliate before the Participant has exercised an Option, the following rules apply:</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A Participant who ceases to be an Employee, director or Consultant of the Company or of an Affiliate (for any reason other than termination for Cause, Disability, or death for which events there are special rules in Paragraphs 14, 15 and 16, respectively), may exercise any Option granted to him or her to the extent that the Option is exercisable on the date of such </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240"/>
        <w:jc w:val="both"/>
        <w:rPr>
          <w:rFonts w:ascii="Times New Roman;serif" w:hAnsi="Times New Roman;serif"/>
          <w:b w:val="false"/>
          <w:color w:val="000000"/>
          <w:sz w:val="24"/>
        </w:rPr>
      </w:pPr>
      <w:r>
        <w:rPr>
          <w:rFonts w:ascii="Times New Roman;serif" w:hAnsi="Times New Roman;serif"/>
          <w:b w:val="false"/>
          <w:color w:val="000000"/>
          <w:sz w:val="24"/>
        </w:rPr>
        <w:t>termination of service, but only within such term as the Administrator has designated in a Participant’s Option Agreement.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provisions of this Paragraph 13, and not the provisions of Paragraph 15 or 16, shall apply to a Participant who subsequently becomes Disabled or dies after the termination of employment, director status or consultancy; provided, however, in the case of a Participant’s Disability or death within three months after the termination of employment, director status or consultancy, the Participant or the Participant’s Survivors may exercise the Option within one year after the date of the Participant’s termination of service, but in no event after the date of expiration of the term of the Option.</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Notwithstanding anything herein to the contrary, if subsequent to a Participant’s termination of employment, termination of director status or termination of consultancy, but prior to the exercise of an Option, the Administrator or the Board of Directors determines that, either prior or subsequent to the Participant’s termination, the Participant engaged in conduct which would constitute Cause, then such Participant shall forthwith cease to have any right to exercise any Option.</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pStyle w:val="TextBody"/>
        <w:bidi w:val="0"/>
        <w:spacing w:lineRule="auto" w:line="26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14.EFFECT ON OPTIONS OF TERMINATION OF SERVICE FOR CAUSE.</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in a Participant’s Option Agreement, the following rules apply if the Participant’s service (whether as an Employee, director or Consultant) with the Company or an Affiliate is terminated for Cause prior to the time that all of his or her outstanding Options have been exercised:</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All outstanding and unexercised Options as of the time the Participant is notified his or her service is terminated for Cause will immediately be forfeited.</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forfeited.</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240"/>
        <w:ind w:left="0" w:right="0" w:hanging="36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EFFECT ON OPTIONS OF TERMINATION OF SERVICE FOR DISABILITY</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in a Participant’s Option Agreement: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 Participant who ceases to be an Employee, director or Consultant of the Company or of an Affiliate by reason of Disability may exercise any Option granted to such Participant to the extent that the Option has become exercisable but has not been exercised on the date of the Participant’s termination of service due to Disability;</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In the event rights to exercise the Option accrue periodically, a Disabled Participant may exercise any Option granted to such Participant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 and</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pStyle w:val="TextBody"/>
        <w:bidi w:val="0"/>
        <w:spacing w:lineRule="auto" w:line="268" w:before="240" w:after="240"/>
        <w:ind w:left="0" w:right="0" w:hanging="36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16.EFFECT ON OPTIONS OF DEATH WHILE AN EMPLOYEE, DIRECTOR OR CONSULTANT.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in a Participant’s Option Agreement: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 the event of the death of a Participant while the Participant is an Employee, director or Consultant of the Company or of an Affiliate, such Option may be exercised by the Participant’s Survivors to the extent that the Option has become exercisable but has not been exercised on the date of death;</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In the event rights to exercise the Option accrue periodically, a deceased Participant’s Survivors may exercise any Option granted to such Participant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 and</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pStyle w:val="TextBody"/>
        <w:bidi w:val="0"/>
        <w:spacing w:lineRule="auto" w:line="268" w:before="240" w:after="240"/>
        <w:ind w:left="0" w:right="0" w:hanging="36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EFFECT ON STOCK GRANTS AND STOCK-BASED AWARDS OF TERMINATION OF SERVICE</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of a termination of service (whether as an Employee, director or Consultant) with the Company or an Affiliate for any reason before the Participant has accepted a Stock Grant or a Stock-Based Award and paid the purchase price, if required, such grant shall terminate.</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this Paragraph 17 and Paragraph 18 below, a Participant to whom a Stock Grant or a Stock-Based Award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addition, for purposes of this Paragraph 17 and Paragraph 18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w:t>
      </w:r>
    </w:p>
    <w:p>
      <w:pPr>
        <w:pStyle w:val="TextBody"/>
        <w:bidi w:val="0"/>
        <w:spacing w:lineRule="auto" w:line="268" w:before="240" w:after="240"/>
        <w:ind w:left="0" w:right="0" w:hanging="36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EFFECT ON STOCK GRANTS AND STOCK-BASED AWARDS OF TERMINATION OF SERVICE OTHER THAN FOR CAUSE, DEATH OR DISABILITY.</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in a Participant’s Agreement, in the event of a termination of service for any reason (whether as an Employee, director or Consultant), other than termination for Cause, Disability or death for which there are special rules in Paragraphs 19, 20 and 21, respectively, before all forfeiture provisions or Company rights of repurchase shall have lapsed, then the Company shall have the right to cancel or repurchase that number of Shares subject to a Stock Grant or Stock-Based Award as to which the Company’s forfeiture or repurchase rights have not lapsed.</w:t>
      </w:r>
    </w:p>
    <w:p>
      <w:pPr>
        <w:pStyle w:val="TextBody"/>
        <w:bidi w:val="0"/>
        <w:spacing w:lineRule="auto" w:line="268" w:before="240" w:after="240"/>
        <w:ind w:left="0" w:right="0" w:hanging="36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EFFECT ON STOCK GRANTS AND STOCK-BASED AWARDS OF TERMINATION OF SERVICE FOR CAUSE</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in a Participant’s Agreement, the following rules apply if the Participant’s service (whether as an Employee, director or Consultant) with the Company or an Affiliate is terminated for Cause:</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All Shares subject to any Stock Grant or Stock-Based Award that remain subject to forfeiture provisions or as to which the Company shall have a repurchase right </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shall be immediately forfeited to the Company as of the time the Participant is notified his or her service is terminated for Cause. </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Stock Grant or Stock-Based Award that remained subject to forfeiture provisions or as to which the Company had a repurchase right on the date of termination shall be immediately forfeited to the Company.</w:t>
      </w:r>
    </w:p>
    <w:p>
      <w:pPr>
        <w:pStyle w:val="TextBody"/>
        <w:bidi w:val="0"/>
        <w:spacing w:lineRule="auto" w:line="268" w:before="240" w:after="240"/>
        <w:ind w:left="0" w:right="0" w:hanging="36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EFFECT ON STOCK GRANTS AND STOCK-BASED AWARDS OF TERMINATION OF SERVICE FOR DISABILITY</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in a Participant’s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or Stock-Based Award through the date of Disability as would have lapsed had the Participant not become Disabled. The proration shall be based upon the number of days accrued prior to the date of Disability.</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pStyle w:val="TextBody"/>
        <w:bidi w:val="0"/>
        <w:spacing w:lineRule="auto" w:line="268" w:before="240" w:after="240"/>
        <w:ind w:left="0" w:right="0" w:hanging="36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EFFECT ON STOCK GRANTS AND STOCK-BASED AWARDS OF DEATH WHILE AN EMPLOYEE, DIRECTOR OR CONSULTANT</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in a Participant’s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or Stock-Based Award through the date of death as would have lapsed had the Participant not died. The proration shall be based upon the number of days accrued prior to the Participant’s date of death.</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240"/>
        <w:ind w:left="0" w:right="0" w:hanging="36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PURCHASE FOR INVESTMENT</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offering and sale of the Shares shall have been effectively registered under the Securities Act, the Company shall be under no obligation to issue Shares under the Plan unless and until the following conditions have been fulfilled:</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exercise or such grant:</w:t>
      </w:r>
    </w:p>
    <w:p>
      <w:pPr>
        <w:pStyle w:val="TextBody"/>
        <w:bidi w:val="0"/>
        <w:spacing w:lineRule="auto" w:line="268" w:before="240" w:after="240"/>
        <w:jc w:val="both"/>
        <w:rPr>
          <w:color w:val="000000"/>
        </w:rPr>
      </w:pPr>
      <w:r>
        <w:rPr>
          <w:color w:val="000000"/>
        </w:rPr>
        <w:t>“</w:t>
      </w:r>
      <w:r>
        <w:rPr>
          <w:rFonts w:ascii="Times New Roman;serif" w:hAnsi="Times New Roman;serif"/>
          <w:b w:val="false"/>
          <w:color w:val="000000"/>
          <w:sz w:val="24"/>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At the discretion of the Administrator, the Company shall have received an opinion of its counsel that the Shares may be issued in compliance with the Securities Act without registration thereunder.</w:t>
      </w:r>
    </w:p>
    <w:p>
      <w:pPr>
        <w:pStyle w:val="TextBody"/>
        <w:bidi w:val="0"/>
        <w:spacing w:lineRule="auto" w:line="268" w:before="240" w:after="240"/>
        <w:ind w:left="0" w:right="0" w:hanging="36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DISSOLUTION OR LIQUIDATION OF THE COMPANY</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240"/>
        <w:ind w:left="0" w:right="0" w:hanging="36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ADJUSTMENTS.</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the occurrence of any of the following events, a Participant’s rights with respect to any Stock Right granted to him or her hereunder shall be adjusted as hereinafter provided, unless otherwise specifically provided in a Participant’s Agreement:</w:t>
      </w:r>
    </w:p>
    <w:p>
      <w:pPr>
        <w:pStyle w:val="TextBody"/>
        <w:bidi w:val="0"/>
        <w:spacing w:lineRule="auto" w:line="268" w:before="24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Stock Dividends and Stock Splits</w:t>
      </w:r>
      <w:r>
        <w:rPr>
          <w:rFonts w:ascii="Times New Roman;serif" w:hAnsi="Times New Roman;serif"/>
          <w:b w:val="false"/>
          <w:color w:val="000000"/>
          <w:sz w:val="24"/>
        </w:rPr>
        <w:t>. If (i) the shares of Common Stock shall be subdivided or combined into a greater or smaller number of shares or if the Company shall issue any shares of Common Stock as a stock dividend on its outstanding Common Stock, or (ii) 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or purchase price per share, to reflect such events. The number of Shares subject to the limitations in Paragraphs 3(a) and 4(c)</w:t>
      </w:r>
      <w:r>
        <w:rPr>
          <w:color w:val="000000"/>
        </w:rPr>
        <w:t xml:space="preserve"> </w:t>
      </w:r>
      <w:r>
        <w:rPr>
          <w:rFonts w:ascii="Times New Roman;serif" w:hAnsi="Times New Roman;serif"/>
          <w:b w:val="false"/>
          <w:color w:val="000000"/>
          <w:sz w:val="24"/>
        </w:rPr>
        <w:t>shall also be proportionately adjusted upon the occurrence of such events.</w:t>
      </w:r>
    </w:p>
    <w:p>
      <w:pPr>
        <w:pStyle w:val="TextBody"/>
        <w:bidi w:val="0"/>
        <w:spacing w:lineRule="auto" w:line="268" w:before="24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Corporate Transactions</w:t>
      </w:r>
      <w:r>
        <w:rPr>
          <w:rFonts w:ascii="Times New Roman;serif" w:hAnsi="Times New Roman;serif"/>
          <w:b w:val="false"/>
          <w:color w:val="000000"/>
          <w:sz w:val="24"/>
        </w:rPr>
        <w:t xml:space="preserve">. If the Company is to be consolidated with or acquired by another entity in a merger, consolidation, sale of all or substantially all of the Company’s assets or </w:t>
      </w:r>
      <w:r>
        <w:rPr>
          <w:rFonts w:ascii="Times New Roman;serif" w:hAnsi="Times New Roman;serif"/>
          <w:b w:val="false"/>
          <w:color w:val="000000"/>
          <w:sz w:val="24"/>
          <w:shd w:fill="FFFFFF" w:val="clear"/>
        </w:rPr>
        <w:t xml:space="preserve">the acquisition of all of the outstanding voting stock of the Company in a single transaction or a series of related transactions </w:t>
      </w:r>
      <w:r>
        <w:rPr>
          <w:rFonts w:ascii="Times New Roman;serif" w:hAnsi="Times New Roman;serif"/>
          <w:b w:val="false"/>
          <w:color w:val="000000"/>
          <w:sz w:val="24"/>
        </w:rPr>
        <w:t xml:space="preserve">other than a transaction to merely change the state of incorporation (a “Corporate Transaction”), the Administrator or the board of directors of any entity assuming the obligations of the Company hereunder (the “Successor Board”), shall, as to outstanding Options, either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Options which have not been exercised shall terminate; or (iii) terminate such Options in exchange for payment of an amount equal to the consideration payable upon consummation of such Corporate Transaction to a holder of the number of shares of Common Stock into which such Option would have been exercisable (either (A) to the extent then exercisable or, (B) at the discretion of the Administrator, any such Options being made partially or fully exercisable for purposes of this Subparagraph) </w:t>
      </w:r>
      <w:r>
        <w:rPr>
          <w:rFonts w:ascii="Times New Roman;serif" w:hAnsi="Times New Roman;serif"/>
          <w:b w:val="false"/>
          <w:color w:val="000000"/>
          <w:sz w:val="24"/>
          <w:u w:val="single"/>
        </w:rPr>
        <w:t>less the aggregate</w:t>
      </w:r>
      <w:r>
        <w:rPr>
          <w:color w:val="000000"/>
        </w:rPr>
        <w:t xml:space="preserve"> </w:t>
      </w:r>
      <w:r>
        <w:rPr>
          <w:rFonts w:ascii="Times New Roman;serif" w:hAnsi="Times New Roman;serif"/>
          <w:b w:val="false"/>
          <w:color w:val="000000"/>
          <w:sz w:val="24"/>
        </w:rPr>
        <w:t>exercise price thereof. For purposes of determining the payments to be made pursuant to clause (iii) above, in the case of a Corporate Transaction the consideration for which, in whole or in part, is other than cash, the consideration other than cash shall be valued at the fair value thereof as determined in good faith by the Board of Directors.</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With respect to outstanding Stock Grants, the Administrator or the Successor Board, shall make appropriate provision for the continuation of such Stock Grants on the same terms and conditions by substituting on an equitable basis for the Shares then subject to such Stock Grants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 Grant </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240"/>
        <w:jc w:val="both"/>
        <w:rPr>
          <w:rFonts w:ascii="Times New Roman;serif" w:hAnsi="Times New Roman;serif"/>
          <w:b w:val="false"/>
          <w:color w:val="000000"/>
          <w:sz w:val="24"/>
        </w:rPr>
      </w:pPr>
      <w:r>
        <w:rPr>
          <w:rFonts w:ascii="Times New Roman;serif" w:hAnsi="Times New Roman;serif"/>
          <w:b w:val="false"/>
          <w:color w:val="000000"/>
          <w:sz w:val="24"/>
        </w:rPr>
        <w:t>shall be terminated in exchange for payment of an amount equal to the consideration payable upon consummation of such Corporate Transaction to a holder of the number of shares of Common Stock comprising such Stock Grant (to the extent such Stock Grant is no longer subject to any forfeiture or repurchase rights then in effect or, at the discretion of the Administrator, all forfeiture and repurchase rights being waived upon such Corporate Transaction).</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taking any of the actions permitted under this Paragraph 24(b), the Administrator shall not be obligated by the Plan to treat all Stock Rights, all Stock Rights held by a Participant, or all Stock Rights of the same type, identically.</w:t>
      </w:r>
    </w:p>
    <w:p>
      <w:pPr>
        <w:pStyle w:val="TextBody"/>
        <w:bidi w:val="0"/>
        <w:spacing w:lineRule="auto" w:line="268" w:before="24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Recapitalization or Reorganization</w:t>
      </w:r>
      <w:r>
        <w:rPr>
          <w:rFonts w:ascii="Times New Roman;serif" w:hAnsi="Times New Roman;serif"/>
          <w:b w:val="false"/>
          <w:color w:val="000000"/>
          <w:sz w:val="24"/>
        </w:rPr>
        <w:t>. In the event of a recapitalization or reorganization of the Company other than a Corporate Transaction pursuant to which securities of the Company or of another corporation or other entity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pStyle w:val="TextBody"/>
        <w:bidi w:val="0"/>
        <w:spacing w:lineRule="auto" w:line="268" w:before="24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Adjustments to Stock-Based Awards</w:t>
      </w:r>
      <w:r>
        <w:rPr>
          <w:rFonts w:ascii="Times New Roman;serif" w:hAnsi="Times New Roman;serif"/>
          <w:b w:val="false"/>
          <w:color w:val="000000"/>
          <w:sz w:val="24"/>
        </w:rPr>
        <w:t>. Upon the happening of any of the events described in Subparagraphs (a), (b) or (c) above, any outstanding Stock-Based Award shall be appropriately adjusted to reflect the events described in such Subparagraphs. The Administrator or the Successor Board shall determine the specific adjustments to be made under this Paragraph 24, including, but not limited to, the effect of any Corporate Transaction and, subject to Paragraph 4, its determination shall be conclusive.</w:t>
      </w:r>
    </w:p>
    <w:p>
      <w:pPr>
        <w:pStyle w:val="TextBody"/>
        <w:bidi w:val="0"/>
        <w:spacing w:lineRule="auto" w:line="268" w:before="24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Modification of Options</w:t>
      </w:r>
      <w:r>
        <w:rPr>
          <w:rFonts w:ascii="Times New Roman;serif" w:hAnsi="Times New Roman;serif"/>
          <w:b w:val="false"/>
          <w:color w:val="000000"/>
          <w:sz w:val="24"/>
        </w:rPr>
        <w:t xml:space="preserve">. Notwithstanding the foregoing, any adjustments made pursuant to Subparagraph (a), (b) or (c) above with respect to Options shall be made only after the Administrator determines whether such adjustments would cause any adverse tax consequences for the holders of Options, including, but not limited to, pursuant to Section 409A of the Code. If the Administrator determines that such adjustments made with respect to Options would cause an adverse tax consequence, it may refrain from making such adjustments, unless the holder of an Option specifically agrees in writing that such adjustment be made and such writing indicates that the holder has full knowledge of the consequences of such “modification” on his or her income tax treatment with respect to the Option. </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240"/>
        <w:ind w:left="0" w:right="0" w:hanging="36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ISSUANCES OF SECURITIES</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pStyle w:val="TextBody"/>
        <w:bidi w:val="0"/>
        <w:spacing w:lineRule="auto" w:line="268" w:before="240" w:after="240"/>
        <w:ind w:left="0" w:right="0" w:hanging="360"/>
        <w:jc w:val="both"/>
        <w:rPr/>
      </w:pPr>
      <w:r>
        <w:rPr>
          <w:rFonts w:ascii="Times New Roman;serif" w:hAnsi="Times New Roman;serif"/>
          <w:b w:val="false"/>
          <w:color w:val="000000"/>
          <w:sz w:val="24"/>
        </w:rPr>
        <w:t>26.</w:t>
      </w:r>
      <w:r>
        <w:rPr>
          <w:rFonts w:ascii="Times New Roman;serif" w:hAnsi="Times New Roman;serif"/>
          <w:b w:val="false"/>
          <w:color w:val="000000"/>
          <w:sz w:val="24"/>
          <w:u w:val="single"/>
        </w:rPr>
        <w:t>FRACTIONAL SHARES</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fractional shares shall be issued under the Plan and the person exercising a Stock Right shall receive from the Company cash in lieu of such fractional shares equal to the Fair Market Value thereof.</w:t>
      </w:r>
    </w:p>
    <w:p>
      <w:pPr>
        <w:pStyle w:val="TextBody"/>
        <w:bidi w:val="0"/>
        <w:spacing w:lineRule="auto" w:line="268" w:before="240" w:after="240"/>
        <w:ind w:left="0" w:right="0" w:hanging="360"/>
        <w:jc w:val="both"/>
        <w:rPr/>
      </w:pPr>
      <w:r>
        <w:rPr>
          <w:rFonts w:ascii="Times New Roman;serif" w:hAnsi="Times New Roman;serif"/>
          <w:b w:val="false"/>
          <w:color w:val="000000"/>
          <w:sz w:val="24"/>
        </w:rPr>
        <w:t>27.</w:t>
      </w:r>
      <w:r>
        <w:rPr>
          <w:rFonts w:ascii="Times New Roman;serif" w:hAnsi="Times New Roman;serif"/>
          <w:b w:val="false"/>
          <w:color w:val="000000"/>
          <w:sz w:val="24"/>
          <w:u w:val="single"/>
        </w:rPr>
        <w:t>WITHHOLDING</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that any federal, state, or local income taxes, employment taxes, Federal Insurance Contributions Act (“F.I.C.A.”) withholdings or other amounts are required by applicable law or governmental regulation to be withheld from the Participant’s salary, wages or other remuneration in connection with the issuance of a Stock Right or Shares under the Plan or upon the lapsing of any forfeiture provision or right of repurchase or for any other reason required by law, the Company may withhold from the Participant’s compensation, if any,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Stock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prior to the date of exercise. If the Fair Market Value of the shares withheld is less than the amount of payroll withholdings required, the Participant may be required to advance the difference in cash to the Company or the Affiliate employer. The Administrator in its discretion may condition the exercise of an Option for less than the then Fair Market Value on the Participant’s payment of such additional withholding. </w:t>
      </w:r>
    </w:p>
    <w:p>
      <w:pPr>
        <w:pStyle w:val="TextBody"/>
        <w:bidi w:val="0"/>
        <w:spacing w:lineRule="auto" w:line="268" w:before="240" w:after="240"/>
        <w:ind w:left="0" w:right="0" w:hanging="360"/>
        <w:jc w:val="both"/>
        <w:rPr/>
      </w:pPr>
      <w:r>
        <w:rPr>
          <w:rFonts w:ascii="Times New Roman;serif" w:hAnsi="Times New Roman;serif"/>
          <w:b w:val="false"/>
          <w:color w:val="000000"/>
          <w:sz w:val="24"/>
        </w:rPr>
        <w:t>28.</w:t>
      </w:r>
      <w:r>
        <w:rPr>
          <w:rFonts w:ascii="Times New Roman;serif" w:hAnsi="Times New Roman;serif"/>
          <w:b w:val="false"/>
          <w:color w:val="000000"/>
          <w:sz w:val="24"/>
          <w:u w:val="single"/>
        </w:rPr>
        <w:t>TERMINATION OF THE PLAN</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Plan will terminate on November 20, 2035, the date which is ten years from the date of its original adoption by the Board of Directors. The Plan may be terminated at an earlier date by vote of the stockholders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240"/>
        <w:ind w:left="0" w:right="0" w:hanging="360"/>
        <w:jc w:val="both"/>
        <w:rPr/>
      </w:pPr>
      <w:r>
        <w:rPr>
          <w:rFonts w:ascii="Times New Roman;serif" w:hAnsi="Times New Roman;serif"/>
          <w:b w:val="false"/>
          <w:color w:val="000000"/>
          <w:sz w:val="24"/>
        </w:rPr>
        <w:t>29.</w:t>
      </w:r>
      <w:r>
        <w:rPr>
          <w:rFonts w:ascii="Times New Roman;serif" w:hAnsi="Times New Roman;serif"/>
          <w:b w:val="false"/>
          <w:color w:val="000000"/>
          <w:sz w:val="24"/>
          <w:u w:val="single"/>
        </w:rPr>
        <w:t>AMENDMENT OF THE PLAN AND AGREEMENTS</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Plan may be amended by the Administrator, including, without limitation, to the extent necessary to qualify the Shares issuable under the Plan for listing on any national securities exchange or quotation in any national automated quotation system of securities dealers; provided that any amendment approved by the Administrator which the Administrator determines is of a scope that requires stockholder approval shall be subject to obtaining such stockholder approval. Any modification or amendment of the Plan shall not, without the consent of a Participant, adversely affect his or her rights under a Stock Right previously granted to him or her.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 Nothing in this Paragraph 29 shall limit the Administrator’s authority to take any action permitted pursuant to Paragraphs 4(f) and 24.</w:t>
      </w:r>
    </w:p>
    <w:p>
      <w:pPr>
        <w:pStyle w:val="TextBody"/>
        <w:bidi w:val="0"/>
        <w:spacing w:lineRule="auto" w:line="268" w:before="240" w:after="240"/>
        <w:ind w:left="0" w:right="0" w:hanging="360"/>
        <w:jc w:val="both"/>
        <w:rPr/>
      </w:pPr>
      <w:r>
        <w:rPr>
          <w:rFonts w:ascii="Times New Roman;serif" w:hAnsi="Times New Roman;serif"/>
          <w:b w:val="false"/>
          <w:color w:val="000000"/>
          <w:sz w:val="24"/>
        </w:rPr>
        <w:t>30.</w:t>
      </w:r>
      <w:r>
        <w:rPr>
          <w:rFonts w:ascii="Times New Roman;serif" w:hAnsi="Times New Roman;serif"/>
          <w:b w:val="false"/>
          <w:color w:val="000000"/>
          <w:sz w:val="24"/>
          <w:u w:val="single"/>
        </w:rPr>
        <w:t>EMPLOYMENT OR OTHER RELATIONSHIP</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Nothing in this Plan or any Agreement shall be deemed to prevent the Company or an Affiliate from terminating the employment, director or consultancy status of a Participant, nor to prevent a Participant from terminating his or her own employment, director or consultancy status or to give any Participant a right to be retained in employment or other service by the Company or any Affiliate for any period of time.</w:t>
      </w:r>
    </w:p>
    <w:p>
      <w:pPr>
        <w:pStyle w:val="TextBody"/>
        <w:bidi w:val="0"/>
        <w:spacing w:lineRule="auto" w:line="268" w:before="240" w:after="240"/>
        <w:ind w:left="0" w:right="0" w:hanging="36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SECTION 409A</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Participant is a “specified employee” as defined in Section 409A of the Code (and as applied according to procedures of the Company and its Affiliates) as of his separation from service, to the extent any payment under this Plan or pursuant to the grant of a Stock-Based Award constitutes deferred compensation (after taking into account any applicable exemptions from Section 409A of the Code), and to the extent required by Section 409A of the Code, no payments due under this Plan or pursuant to a Stock-Based Award may be made until the earlier of: (i) the first day of the seventh month following the Participant’s separation from service, or (ii) the Participant’s date of death; provided, however, that any payments delayed during this six-month period shall be paid in the aggregate in a lump sum, without interest, on the first day of the seventh month following the Participant’s separation from service.</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Administrator shall administer the Plan with a view toward ensuring that Stock Rights under the Plan that are subject to Section 409A of the Code comply with the requirements thereof and that Options under the Plan be exempt from the requirements of Section 409A of the Code, but neither the Administrator nor any member of the Board, nor the Company nor any of its Affiliates, nor any other person acting hereunder on behalf of the Company, the Administrator or the Board shall be liable to a Participant or any Survivor by reason of the acceleration of any income, or the imposition of any additional tax or penalty, with respect to a Stock Right, whether by reason of a failure to satisfy the requirements of Section 409A of the Code or otherwise.</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240"/>
        <w:ind w:left="0" w:right="0" w:hanging="36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INDEMNITY</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Neither the Board nor the Administrator, nor any members of either, nor any employees of the Company or any parent, subsidiary, or other Affiliate, shall be liable for any act, omission, interpretation, construction or determination made in good faith in connection with their responsibilities with respect to this Plan, and the Company hereby agrees to indemnify the members of the Board, the members of the Committee, and the employees of the Company and its parent or subsidiaries in respect of any claim, loss, damage, or expense (including reasonable counsel fees) arising from any such act, omission, interpretation, construction or determination to the full extent permitted by law.</w:t>
      </w:r>
    </w:p>
    <w:p>
      <w:pPr>
        <w:pStyle w:val="TextBody"/>
        <w:bidi w:val="0"/>
        <w:spacing w:lineRule="auto" w:line="268" w:before="240" w:after="240"/>
        <w:ind w:left="0" w:right="0" w:hanging="360"/>
        <w:jc w:val="both"/>
        <w:rPr/>
      </w:pPr>
      <w:r>
        <w:rPr>
          <w:rFonts w:ascii="Times New Roman;serif" w:hAnsi="Times New Roman;serif"/>
          <w:b w:val="false"/>
          <w:color w:val="000000"/>
          <w:sz w:val="24"/>
        </w:rPr>
        <w:t>33.</w:t>
      </w:r>
      <w:r>
        <w:rPr>
          <w:rFonts w:ascii="Times New Roman;serif" w:hAnsi="Times New Roman;serif"/>
          <w:b w:val="false"/>
          <w:color w:val="000000"/>
          <w:sz w:val="24"/>
          <w:u w:val="single"/>
        </w:rPr>
        <w:t>CLAWBACK.</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contained in this Plan, the Company may recover from a Participant any compensation received from any Stock Right (whether or not settled) or cause a Participant to forfeit any Stock Right (whether or not vested) in the event that the Company’s Clawback Policy then in effect is triggered.</w:t>
      </w:r>
    </w:p>
    <w:p>
      <w:pPr>
        <w:pStyle w:val="TextBody"/>
        <w:bidi w:val="0"/>
        <w:spacing w:lineRule="auto" w:line="268" w:before="240" w:after="240"/>
        <w:ind w:left="0" w:right="0" w:hanging="360"/>
        <w:jc w:val="both"/>
        <w:rPr/>
      </w:pPr>
      <w:bookmarkStart w:id="0" w:name="i721f7b1c59f147fc8477fd8b2fa40b4e_52926"/>
      <w:bookmarkEnd w:id="0"/>
      <w:r>
        <w:rPr>
          <w:rFonts w:ascii="Times New Roman;serif" w:hAnsi="Times New Roman;serif"/>
          <w:b w:val="false"/>
          <w:color w:val="000000"/>
          <w:sz w:val="24"/>
        </w:rPr>
        <w:t>34.</w:t>
      </w:r>
      <w:r>
        <w:rPr>
          <w:rFonts w:ascii="Times New Roman;serif" w:hAnsi="Times New Roman;serif"/>
          <w:b w:val="false"/>
          <w:color w:val="000000"/>
          <w:sz w:val="24"/>
          <w:u w:val="single"/>
        </w:rPr>
        <w:t>GOVERNING LAW</w:t>
      </w:r>
      <w:r>
        <w:rPr>
          <w:rFonts w:ascii="Times New Roman;serif" w:hAnsi="Times New Roman;serif"/>
          <w:b w:val="false"/>
          <w:color w:val="000000"/>
          <w:sz w:val="24"/>
        </w:rPr>
        <w:t>.</w:t>
      </w:r>
    </w:p>
    <w:p>
      <w:pPr>
        <w:pStyle w:val="TextBody"/>
        <w:bidi w:val="0"/>
        <w:spacing w:lineRule="auto" w:line="26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Plan shall be construed and enforced in accordance with the law of the State of Delaware.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3274/000150327425000097/qtrx-proposedcharteramendm.htm" TargetMode="External"/><Relationship Id="rId3" Type="http://schemas.openxmlformats.org/officeDocument/2006/relationships/hyperlink" Target="https://www.sec.gov/Archives/edgar/data/1503274/000150327425000097/restatedbylaws.htm" TargetMode="External"/><Relationship Id="rId4" Type="http://schemas.openxmlformats.org/officeDocument/2006/relationships/hyperlink" Target="https://www.sec.gov/Archives/edgar/data/1503274/000104746917006947/a2233678zex-4_1.htm" TargetMode="External"/><Relationship Id="rId5" Type="http://schemas.openxmlformats.org/officeDocument/2006/relationships/hyperlink" Target="https://www.sec.gov/Archives/edgar/data/1503274/000162828025058532/ex992-formofstockoptionagr.htm" TargetMode="External"/><Relationship Id="rId6" Type="http://schemas.openxmlformats.org/officeDocument/2006/relationships/hyperlink" Target="https://www.sec.gov/Archives/edgar/data/1503274/000162828025058532/ex993formrsuaward.htm" TargetMode="Externa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10723</Words>
  <Characters>56072</Characters>
  <CharactersWithSpaces>66619</CharactersWithSpaces>
  <Paragraphs>381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