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92710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20" w:hanging="317"/>
        <w:spacing w:after="0" w:line="243" w:lineRule="auto"/>
        <w:tabs>
          <w:tab w:leader="none" w:pos="50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320" w:hanging="317"/>
        <w:spacing w:after="0" w:line="256" w:lineRule="auto"/>
        <w:tabs>
          <w:tab w:leader="none" w:pos="50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73025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6"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68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center"/>
              <w:ind w:left="1175"/>
              <w:spacing w:after="0" w:line="207" w:lineRule="exact"/>
              <w:rPr>
                <w:sz w:val="20"/>
                <w:szCs w:val="20"/>
                <w:color w:val="auto"/>
              </w:rPr>
            </w:pPr>
            <w:r>
              <w:rPr>
                <w:rFonts w:ascii="Arial" w:cs="Arial" w:eastAsia="Arial" w:hAnsi="Arial"/>
                <w:sz w:val="18"/>
                <w:szCs w:val="18"/>
                <w:b w:val="1"/>
                <w:bCs w:val="1"/>
                <w:color w:val="auto"/>
                <w:w w:val="89"/>
              </w:rPr>
              <w:t>20</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8957988</w:t>
            </w:r>
          </w:p>
        </w:tc>
      </w:tr>
      <w:tr>
        <w:trPr>
          <w:trHeight w:val="182"/>
        </w:trPr>
        <w:tc>
          <w:tcPr>
            <w:tcW w:w="4680" w:type="dxa"/>
            <w:vAlign w:val="bottom"/>
          </w:tcPr>
          <w:p>
            <w:pPr>
              <w:jc w:val="center"/>
              <w:ind w:right="115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17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680" w:type="dxa"/>
            <w:vAlign w:val="bottom"/>
          </w:tcPr>
          <w:p>
            <w:pPr>
              <w:jc w:val="center"/>
              <w:ind w:right="1157"/>
              <w:spacing w:after="0"/>
              <w:rPr>
                <w:sz w:val="20"/>
                <w:szCs w:val="20"/>
                <w:color w:val="auto"/>
              </w:rPr>
            </w:pPr>
            <w:r>
              <w:rPr>
                <w:rFonts w:ascii="Arial" w:cs="Arial" w:eastAsia="Arial" w:hAnsi="Arial"/>
                <w:sz w:val="18"/>
                <w:szCs w:val="18"/>
                <w:b w:val="1"/>
                <w:bCs w:val="1"/>
                <w:color w:val="auto"/>
                <w:w w:val="92"/>
              </w:rPr>
              <w:t>900 Middlesex Turnpike</w:t>
            </w:r>
          </w:p>
        </w:tc>
        <w:tc>
          <w:tcPr>
            <w:tcW w:w="3240" w:type="dxa"/>
            <w:vAlign w:val="bottom"/>
          </w:tcPr>
          <w:p>
            <w:pPr>
              <w:spacing w:after="0"/>
              <w:rPr>
                <w:sz w:val="24"/>
                <w:szCs w:val="24"/>
                <w:color w:val="auto"/>
              </w:rPr>
            </w:pPr>
          </w:p>
        </w:tc>
      </w:tr>
      <w:tr>
        <w:trPr>
          <w:trHeight w:val="216"/>
        </w:trPr>
        <w:tc>
          <w:tcPr>
            <w:tcW w:w="4680" w:type="dxa"/>
            <w:vAlign w:val="bottom"/>
          </w:tcPr>
          <w:p>
            <w:pPr>
              <w:jc w:val="center"/>
              <w:ind w:right="1157"/>
              <w:spacing w:after="0"/>
              <w:rPr>
                <w:sz w:val="20"/>
                <w:szCs w:val="20"/>
                <w:color w:val="auto"/>
              </w:rPr>
            </w:pPr>
            <w:r>
              <w:rPr>
                <w:rFonts w:ascii="Arial" w:cs="Arial" w:eastAsia="Arial" w:hAnsi="Arial"/>
                <w:sz w:val="18"/>
                <w:szCs w:val="18"/>
                <w:b w:val="1"/>
                <w:bCs w:val="1"/>
                <w:color w:val="auto"/>
                <w:w w:val="96"/>
              </w:rPr>
              <w:t>Billerica, MA</w:t>
            </w:r>
          </w:p>
        </w:tc>
        <w:tc>
          <w:tcPr>
            <w:tcW w:w="324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680" w:type="dxa"/>
            <w:vAlign w:val="bottom"/>
          </w:tcPr>
          <w:p>
            <w:pPr>
              <w:jc w:val="center"/>
              <w:ind w:right="1157"/>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17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8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QTRX</w:t>
            </w:r>
          </w:p>
        </w:tc>
        <w:tc>
          <w:tcPr>
            <w:tcW w:w="16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right="28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060" w:val="left"/>
          <w:tab w:leader="none" w:pos="57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jc w:val="both"/>
        <w:ind w:right="5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firstLine="518"/>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1, 2020, the registrant had 28,310,994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92075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666115</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233" w:right="839"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574"/>
        </w:trPr>
        <w:tc>
          <w:tcPr>
            <w:tcW w:w="856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4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20" w:type="dxa"/>
            <w:vAlign w:val="bottom"/>
            <w:gridSpan w:val="4"/>
          </w:tcPr>
          <w:p>
            <w:pPr>
              <w:jc w:val="center"/>
              <w:ind w:right="17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360" w:type="dxa"/>
            <w:vAlign w:val="bottom"/>
          </w:tcPr>
          <w:p>
            <w:pPr>
              <w:spacing w:after="0"/>
              <w:rPr>
                <w:sz w:val="24"/>
                <w:szCs w:val="24"/>
                <w:color w:val="auto"/>
              </w:rPr>
            </w:pPr>
          </w:p>
        </w:tc>
      </w:tr>
      <w:tr>
        <w:trPr>
          <w:trHeight w:val="418"/>
        </w:trPr>
        <w:tc>
          <w:tcPr>
            <w:tcW w:w="8560" w:type="dxa"/>
            <w:vAlign w:val="bottom"/>
            <w:gridSpan w:val="8"/>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60" w:type="dxa"/>
            <w:vAlign w:val="bottom"/>
            <w:gridSpan w:val="8"/>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Balance Sheets at March 31, 2020 and December 31, 2019</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8560" w:type="dxa"/>
            <w:vAlign w:val="bottom"/>
            <w:gridSpan w:val="8"/>
          </w:tcPr>
          <w:p>
            <w:pPr>
              <w:ind w:left="460"/>
              <w:spacing w:after="0" w:line="190"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Operations for the Three Months Ended March 31, 2020 and</w:t>
              </w:r>
            </w:hyperlink>
          </w:p>
        </w:tc>
        <w:tc>
          <w:tcPr>
            <w:tcW w:w="360" w:type="dxa"/>
            <w:vAlign w:val="bottom"/>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6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60" w:type="dxa"/>
            <w:vAlign w:val="bottom"/>
            <w:gridSpan w:val="8"/>
          </w:tcPr>
          <w:p>
            <w:pPr>
              <w:ind w:left="460"/>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Comprehensive Loss for the Three Months Ended March 31,</w:t>
              </w:r>
            </w:hyperlink>
          </w:p>
        </w:tc>
        <w:tc>
          <w:tcPr>
            <w:tcW w:w="3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2020 and 2019</w:t>
              </w:r>
            </w:hyperlink>
          </w:p>
        </w:tc>
        <w:tc>
          <w:tcPr>
            <w:tcW w:w="676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560" w:type="dxa"/>
            <w:vAlign w:val="bottom"/>
            <w:gridSpan w:val="8"/>
          </w:tcPr>
          <w:p>
            <w:pPr>
              <w:ind w:left="460"/>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March 31, 2020 and</w:t>
              </w:r>
            </w:hyperlink>
          </w:p>
        </w:tc>
        <w:tc>
          <w:tcPr>
            <w:tcW w:w="3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60" w:type="dxa"/>
            <w:vAlign w:val="bottom"/>
            <w:gridSpan w:val="8"/>
          </w:tcPr>
          <w:p>
            <w:pPr>
              <w:ind w:left="460"/>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Unaudited Condensed Consolidated Statements of Stockholders’ Equity for the Three Months Ended March 31,</w:t>
              </w:r>
            </w:hyperlink>
          </w:p>
        </w:tc>
        <w:tc>
          <w:tcPr>
            <w:tcW w:w="3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2020 and 2019</w:t>
              </w:r>
            </w:hyperlink>
          </w:p>
        </w:tc>
        <w:tc>
          <w:tcPr>
            <w:tcW w:w="676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37"/>
        </w:trPr>
        <w:tc>
          <w:tcPr>
            <w:tcW w:w="8560" w:type="dxa"/>
            <w:vAlign w:val="bottom"/>
            <w:gridSpan w:val="8"/>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20" w:type="dxa"/>
            <w:vAlign w:val="bottom"/>
            <w:gridSpan w:val="4"/>
          </w:tcPr>
          <w:p>
            <w:pPr>
              <w:jc w:val="center"/>
              <w:ind w:right="178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 — OTHER INFORMATION</w:t>
              </w:r>
            </w:hyperlink>
          </w:p>
        </w:tc>
        <w:tc>
          <w:tcPr>
            <w:tcW w:w="360" w:type="dxa"/>
            <w:vAlign w:val="bottom"/>
          </w:tcPr>
          <w:p>
            <w:pPr>
              <w:spacing w:after="0"/>
              <w:rPr>
                <w:sz w:val="24"/>
                <w:szCs w:val="24"/>
                <w:color w:val="auto"/>
              </w:rPr>
            </w:pP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 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 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 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5.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6. 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560" w:type="dxa"/>
            <w:vAlign w:val="bottom"/>
            <w:gridSpan w:val="8"/>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78"/>
        </w:trPr>
        <w:tc>
          <w:tcPr>
            <w:tcW w:w="8480" w:type="dxa"/>
            <w:vAlign w:val="bottom"/>
            <w:gridSpan w:val="5"/>
          </w:tcPr>
          <w:p>
            <w:pPr>
              <w:ind w:left="4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2019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7"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8"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March 31,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109,155</w:t>
            </w:r>
          </w:p>
        </w:tc>
      </w:tr>
      <w:tr>
        <w:trPr>
          <w:trHeight w:val="202"/>
        </w:trPr>
        <w:tc>
          <w:tcPr>
            <w:tcW w:w="6180" w:type="dxa"/>
            <w:vAlign w:val="bottom"/>
          </w:tcPr>
          <w:p>
            <w:pPr>
              <w:ind w:left="120"/>
              <w:spacing w:after="0" w:line="201" w:lineRule="exact"/>
              <w:rPr>
                <w:sz w:val="20"/>
                <w:szCs w:val="20"/>
                <w:color w:val="auto"/>
              </w:rPr>
            </w:pPr>
            <w:r>
              <w:rPr>
                <w:rFonts w:ascii="Arial" w:cs="Arial" w:eastAsia="Arial" w:hAnsi="Arial"/>
                <w:sz w:val="18"/>
                <w:szCs w:val="18"/>
                <w:color w:val="auto"/>
                <w:w w:val="95"/>
              </w:rPr>
              <w:t>Accounts receivable (less reserve for doubtful accounts of $277 and $162 as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w w:val="96"/>
              </w:rPr>
              <w:t>March 31, 2020 and December 31, 2019, respectively; including $91 and $186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w w:val="94"/>
              </w:rPr>
              <w:t>from related parties as of March 31, 2020 and December 31, 2019,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10,906</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r>
      <w:tr>
        <w:trPr>
          <w:trHeight w:val="216"/>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r>
      <w:tr>
        <w:trPr>
          <w:trHeight w:val="209"/>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14,307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7"/>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169,951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6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Accounts payable (including $29 and $36 to related parties as of March 31, 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2019, 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6,570</w:t>
            </w:r>
          </w:p>
        </w:tc>
      </w:tr>
      <w:tr>
        <w:trPr>
          <w:trHeight w:val="202"/>
        </w:trPr>
        <w:tc>
          <w:tcPr>
            <w:tcW w:w="6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accrued expenses (including $232 and $0 to related parties as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March 31, 2020 and December 31, 2019,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r>
      <w:tr>
        <w:trPr>
          <w:trHeight w:val="202"/>
        </w:trPr>
        <w:tc>
          <w:tcPr>
            <w:tcW w:w="6180" w:type="dxa"/>
            <w:vAlign w:val="bottom"/>
          </w:tcPr>
          <w:p>
            <w:pPr>
              <w:ind w:left="120"/>
              <w:spacing w:after="0" w:line="201" w:lineRule="exact"/>
              <w:rPr>
                <w:sz w:val="20"/>
                <w:szCs w:val="20"/>
                <w:color w:val="auto"/>
              </w:rPr>
            </w:pPr>
            <w:r>
              <w:rPr>
                <w:rFonts w:ascii="Arial" w:cs="Arial" w:eastAsia="Arial" w:hAnsi="Arial"/>
                <w:sz w:val="18"/>
                <w:szCs w:val="18"/>
                <w:color w:val="auto"/>
                <w:w w:val="91"/>
              </w:rPr>
              <w:t>Deferred revenue (including $36 and $55 with related parties as of March 31,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and December 31, 2019,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4,697</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Short term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0"/>
        </w:trPr>
        <w:tc>
          <w:tcPr>
            <w:tcW w:w="61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19,833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Long term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13,407</w:t>
            </w:r>
          </w:p>
        </w:tc>
      </w:tr>
      <w:tr>
        <w:trPr>
          <w:trHeight w:val="210"/>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Common stock, $0.001 par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6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Authorized—120,000,000 shares as of March 31, 2020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December 31, 2019; issued and outstanding — 28,243,442 and 28,112,201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as of March 31, 2020 and December 31, 2019,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348,072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345,027</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(227,854)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(216,244)</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128,658</w:t>
            </w: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170,305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169,951</w:t>
            </w:r>
          </w:p>
        </w:tc>
      </w:tr>
    </w:tbl>
    <w:p>
      <w:pPr>
        <w:spacing w:after="0" w:line="1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Product revenue (including related party activity of $120 and $80 for the three months</w:t>
            </w:r>
          </w:p>
        </w:tc>
        <w:tc>
          <w:tcPr>
            <w:tcW w:w="34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ended March 31, 2020 and 2019, respectively)</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w w:val="94"/>
              </w:rPr>
              <w:t>Service and other revenue (including related party activity of $24 and $23 for the three</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months ended March 31, 2020 and 2019, respectively)</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50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15,727</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tcPr>
          <w:p>
            <w:pPr>
              <w:ind w:left="120"/>
              <w:spacing w:after="0" w:line="201" w:lineRule="exact"/>
              <w:rPr>
                <w:sz w:val="20"/>
                <w:szCs w:val="20"/>
                <w:color w:val="auto"/>
              </w:rPr>
            </w:pPr>
            <w:r>
              <w:rPr>
                <w:rFonts w:ascii="Arial" w:cs="Arial" w:eastAsia="Arial" w:hAnsi="Arial"/>
                <w:sz w:val="18"/>
                <w:szCs w:val="18"/>
                <w:color w:val="auto"/>
                <w:w w:val="95"/>
              </w:rPr>
              <w:t>Cost of product revenue (including related party activity of $63 and $35 for the three</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months ended March 31, 2020 and 2019, respectively)</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6,186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services and other revenue</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costs of goods sold and services</w:t>
            </w:r>
          </w:p>
        </w:tc>
        <w:tc>
          <w:tcPr>
            <w:tcW w:w="3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6,330</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34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vMerge w:val="restart"/>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top w:val="single" w:sz="8" w:color="CCEEFF"/>
              <w:right w:val="single" w:sz="8" w:color="auto"/>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(0.41)</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Weighted-average common shares outstanding, basic and diluted</w:t>
            </w:r>
          </w:p>
        </w:tc>
        <w:tc>
          <w:tcPr>
            <w:tcW w:w="3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28,179,132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22,422,960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125" w:right="1399"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96"/>
              </w:rPr>
              <w:t>2019</w:t>
            </w:r>
          </w:p>
        </w:tc>
      </w:tr>
      <w:tr>
        <w:trPr>
          <w:trHeight w:val="209"/>
        </w:trPr>
        <w:tc>
          <w:tcPr>
            <w:tcW w:w="3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r>
      <w:tr>
        <w:trPr>
          <w:trHeight w:val="211"/>
        </w:trPr>
        <w:tc>
          <w:tcPr>
            <w:tcW w:w="366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Cumulative translation adjustment</w:t>
            </w:r>
          </w:p>
        </w:tc>
        <w:tc>
          <w:tcPr>
            <w:tcW w:w="1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4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other comprehensive loss</w:t>
            </w:r>
          </w:p>
        </w:tc>
        <w:tc>
          <w:tcPr>
            <w:tcW w:w="1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4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r>
    </w:tbl>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Inventory step-up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w w:val="91"/>
              </w:rPr>
              <w:t>Accrued compensation and benefits, other accrued expenses and other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ESPP purchase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on notes payable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on cash</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restricted cash, and cash equivalents at beginning of period</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45,429</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restricted cash, and cash equivalents at end of period</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96,359</w:t>
            </w:r>
          </w:p>
        </w:tc>
        <w:tc>
          <w:tcPr>
            <w:tcW w:w="14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33,972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97,359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Common</w:t>
            </w:r>
          </w:p>
        </w:tc>
        <w:tc>
          <w:tcPr>
            <w:tcW w:w="8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8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2"/>
              </w:rPr>
              <w:t>comprehensive Accumulated</w:t>
            </w:r>
          </w:p>
        </w:tc>
        <w:tc>
          <w:tcPr>
            <w:tcW w:w="1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stock shares</w:t>
            </w: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stock 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28,112,201</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345,027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(153)</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(216,244)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128,658</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w w:val="98"/>
              </w:rPr>
              <w:t>Exercise of common stock options and vesting of restricted stock</w:t>
            </w:r>
          </w:p>
        </w:tc>
        <w:tc>
          <w:tcPr>
            <w:tcW w:w="760" w:type="dxa"/>
            <w:vAlign w:val="bottom"/>
          </w:tcPr>
          <w:p>
            <w:pPr>
              <w:jc w:val="right"/>
              <w:spacing w:after="0"/>
              <w:rPr>
                <w:sz w:val="20"/>
                <w:szCs w:val="20"/>
                <w:color w:val="auto"/>
              </w:rPr>
            </w:pPr>
            <w:r>
              <w:rPr>
                <w:rFonts w:ascii="Arial" w:cs="Arial" w:eastAsia="Arial" w:hAnsi="Arial"/>
                <w:sz w:val="13"/>
                <w:szCs w:val="13"/>
                <w:color w:val="auto"/>
              </w:rPr>
              <w:t>108,548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ESPP stock purchase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22,693</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2,109</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(11,610)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(11,610)</w:t>
            </w:r>
          </w:p>
        </w:tc>
        <w:tc>
          <w:tcPr>
            <w:tcW w:w="0" w:type="dxa"/>
            <w:vAlign w:val="bottom"/>
          </w:tcPr>
          <w:p>
            <w:pPr>
              <w:spacing w:after="0"/>
              <w:rPr>
                <w:sz w:val="1"/>
                <w:szCs w:val="1"/>
                <w:color w:val="auto"/>
              </w:rPr>
            </w:pPr>
          </w:p>
        </w:tc>
      </w:tr>
      <w:tr>
        <w:trPr>
          <w:trHeight w:val="149"/>
        </w:trPr>
        <w:tc>
          <w:tcPr>
            <w:tcW w:w="36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28,243,442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348,072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(227,854)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119,046</w:t>
            </w:r>
          </w:p>
        </w:tc>
        <w:tc>
          <w:tcPr>
            <w:tcW w:w="0" w:type="dxa"/>
            <w:vAlign w:val="bottom"/>
          </w:tcPr>
          <w:p>
            <w:pPr>
              <w:spacing w:after="0"/>
              <w:rPr>
                <w:sz w:val="1"/>
                <w:szCs w:val="1"/>
                <w:color w:val="auto"/>
              </w:rPr>
            </w:pPr>
          </w:p>
        </w:tc>
      </w:tr>
      <w:tr>
        <w:trPr>
          <w:trHeight w:val="274"/>
        </w:trPr>
        <w:tc>
          <w:tcPr>
            <w:tcW w:w="3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Common</w:t>
            </w:r>
          </w:p>
        </w:tc>
        <w:tc>
          <w:tcPr>
            <w:tcW w:w="8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8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2"/>
              </w:rPr>
              <w:t>comprehensive Accumulated</w:t>
            </w:r>
          </w:p>
        </w:tc>
        <w:tc>
          <w:tcPr>
            <w:tcW w:w="1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stock shares</w:t>
            </w: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stock 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ind w:right="11"/>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December 31,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22,369,036</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216,931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(175,888)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41,065</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Cumulative-effect adjustment for the adoption of ASC 606</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w w:val="98"/>
              </w:rPr>
              <w:t>Exercise of common stock options and vesting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102,361</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ESPP stock purchase</w:t>
            </w:r>
          </w:p>
        </w:tc>
        <w:tc>
          <w:tcPr>
            <w:tcW w:w="760" w:type="dxa"/>
            <w:vAlign w:val="bottom"/>
          </w:tcPr>
          <w:p>
            <w:pPr>
              <w:jc w:val="right"/>
              <w:spacing w:after="0"/>
              <w:rPr>
                <w:sz w:val="20"/>
                <w:szCs w:val="20"/>
                <w:color w:val="auto"/>
              </w:rPr>
            </w:pPr>
            <w:r>
              <w:rPr>
                <w:rFonts w:ascii="Arial" w:cs="Arial" w:eastAsia="Arial" w:hAnsi="Arial"/>
                <w:sz w:val="13"/>
                <w:szCs w:val="13"/>
                <w:color w:val="auto"/>
              </w:rPr>
              <w:t>20,050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(9,405)</w:t>
            </w:r>
          </w:p>
        </w:tc>
        <w:tc>
          <w:tcPr>
            <w:tcW w:w="0" w:type="dxa"/>
            <w:vAlign w:val="bottom"/>
          </w:tcPr>
          <w:p>
            <w:pPr>
              <w:spacing w:after="0"/>
              <w:rPr>
                <w:sz w:val="1"/>
                <w:szCs w:val="1"/>
                <w:color w:val="auto"/>
              </w:rPr>
            </w:pPr>
          </w:p>
        </w:tc>
      </w:tr>
      <w:tr>
        <w:trPr>
          <w:trHeight w:val="149"/>
        </w:trPr>
        <w:tc>
          <w:tcPr>
            <w:tcW w:w="36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March 31, 2019</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22,491,447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219,045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(184,853)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34,215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40" w:top="125" w:right="1379"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74"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7"/>
          <w:szCs w:val="17"/>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ahead of its original fourth quarter expectation.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4"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jc w:val="both"/>
        <w:ind w:left="40" w:right="139" w:firstLine="648"/>
        <w:spacing w:after="0" w:line="287" w:lineRule="auto"/>
        <w:rPr>
          <w:sz w:val="20"/>
          <w:szCs w:val="20"/>
          <w:color w:val="auto"/>
        </w:rPr>
      </w:pPr>
      <w:r>
        <w:rPr>
          <w:rFonts w:ascii="Arial" w:cs="Arial" w:eastAsia="Arial" w:hAnsi="Arial"/>
          <w:sz w:val="16"/>
          <w:szCs w:val="16"/>
          <w:color w:val="auto"/>
        </w:rPr>
        <w:t>The Company completed the acquisition of UmanDiagnostics AB (Uman), a Swedish company located in Umea, Sweden, in August 2019. The acquisition closed with respect to 95% of the outstanding shares of capital stock of Uman on July 1, 2019 and with respect to the remaining 5% of the outstanding shares of capital stock of Uman on August 1, 2019.</w:t>
      </w:r>
    </w:p>
    <w:p>
      <w:pPr>
        <w:spacing w:after="0" w:line="2"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On March 19, 2019, the Company entered into a Sales Agreement (the Sales Agreement) with Cowen and Company, LLC (Cowen) with respect to an “at-the-market” offering program under which the Company may offer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sell, from time to time at its sole discretion, shares of its common stock, par value $0.001 per share, having an aggregate offering price of up to $50.0 million through Cowen as its sales agent.</w:t>
      </w:r>
    </w:p>
    <w:p>
      <w:pPr>
        <w:spacing w:after="0" w:line="170"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ind w:left="40" w:right="199" w:firstLine="648"/>
        <w:spacing w:after="0" w:line="275" w:lineRule="auto"/>
        <w:rPr>
          <w:sz w:val="20"/>
          <w:szCs w:val="20"/>
          <w:color w:val="auto"/>
        </w:rPr>
      </w:pPr>
      <w:r>
        <w:rPr>
          <w:rFonts w:ascii="Arial" w:cs="Arial" w:eastAsia="Arial" w:hAnsi="Arial"/>
          <w:sz w:val="17"/>
          <w:szCs w:val="17"/>
          <w:color w:val="auto"/>
        </w:rPr>
        <w:t>On August 8, 2019, the Company entered into an underwriting agreement with J.P. Morgan Securities LLC and SVB Leerink LLC,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2019 filed with the Securities and Exchange Commission on March 13, 2020 (the 2019 Annual Report on Form 10-K). The consolidated financial information as of December 31, 2019 has been derived from the audited 2019 consolidated financial statements included in the 2019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40" w:right="179" w:firstLine="648"/>
        <w:spacing w:after="0" w:line="220" w:lineRule="exact"/>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w:t>
      </w:r>
      <w:r>
        <w:rPr>
          <w:rFonts w:ascii="MS PGothic" w:cs="MS PGothic" w:eastAsia="MS PGothic" w:hAnsi="MS PGothic"/>
          <w:sz w:val="18"/>
          <w:szCs w:val="18"/>
          <w:color w:val="auto"/>
        </w:rPr>
        <w:t>‑</w:t>
      </w:r>
      <w:r>
        <w:rPr>
          <w:rFonts w:ascii="Arial" w:cs="Arial" w:eastAsia="Arial" w:hAnsi="Arial"/>
          <w:sz w:val="18"/>
          <w:szCs w:val="18"/>
          <w:color w:val="auto"/>
        </w:rPr>
        <w:t>owned subsidiaries. All material intercompany transactions and balances have been eliminated in consolidation.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and notes receivable, fair value of assets acquired and liabilities assumed in acquisitions, valuation allowances recorded against deferred tax assets, right-of-use assets and lease liabilities,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Actual results could differ from those estimates.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loss.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4"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 xml:space="preserve">The Company accounts for uncertain tax positions in accordance with the provisions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2020 the Company did not have any significant uncertain tax positions.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40" w:right="159" w:firstLine="648"/>
        <w:spacing w:after="0" w:line="272" w:lineRule="auto"/>
        <w:rPr>
          <w:sz w:val="20"/>
          <w:szCs w:val="20"/>
          <w:color w:val="auto"/>
        </w:rPr>
      </w:pPr>
      <w:r>
        <w:rPr>
          <w:rFonts w:ascii="Arial" w:cs="Arial" w:eastAsia="Arial" w:hAnsi="Arial"/>
          <w:sz w:val="17"/>
          <w:szCs w:val="17"/>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77"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headquarters in Billerica, Massachusetts. The restricted cash is long term in nature as the Company will not have access to the funds until more than one year from March 31,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40" w:right="379" w:firstLine="648"/>
        <w:spacing w:after="0" w:line="296" w:lineRule="auto"/>
        <w:rPr>
          <w:sz w:val="20"/>
          <w:szCs w:val="20"/>
          <w:color w:val="auto"/>
        </w:rPr>
      </w:pPr>
      <w:r>
        <w:rPr>
          <w:rFonts w:ascii="Arial" w:cs="Arial" w:eastAsia="Arial" w:hAnsi="Arial"/>
          <w:sz w:val="16"/>
          <w:szCs w:val="16"/>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342" w:lineRule="auto"/>
        <w:rPr>
          <w:sz w:val="20"/>
          <w:szCs w:val="20"/>
          <w:color w:val="auto"/>
        </w:rPr>
      </w:pPr>
      <w:r>
        <w:rPr>
          <w:rFonts w:ascii="Arial" w:cs="Arial" w:eastAsia="Arial" w:hAnsi="Arial"/>
          <w:sz w:val="16"/>
          <w:szCs w:val="16"/>
          <w:color w:val="auto"/>
        </w:rPr>
        <w:t>Company will not be required to adopt new or revised accounting standards on the relevant dates on which adoption of such standards is required for other public companies so long as the Company remains an emerging growth company.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7"/>
          <w:szCs w:val="17"/>
          <w:i w:val="1"/>
          <w:iCs w:val="1"/>
          <w:color w:val="auto"/>
        </w:rPr>
        <w:t>Land Easement</w:t>
      </w:r>
      <w:r>
        <w:rPr>
          <w:rFonts w:ascii="Arial" w:cs="Arial" w:eastAsia="Arial" w:hAnsi="Arial"/>
          <w:sz w:val="17"/>
          <w:szCs w:val="17"/>
          <w:color w:val="auto"/>
        </w:rPr>
        <w:t xml:space="preserve"> </w:t>
      </w:r>
      <w:r>
        <w:rPr>
          <w:rFonts w:ascii="Arial" w:cs="Arial" w:eastAsia="Arial" w:hAnsi="Arial"/>
          <w:sz w:val="17"/>
          <w:szCs w:val="17"/>
          <w:i w:val="1"/>
          <w:iCs w:val="1"/>
          <w:color w:val="auto"/>
        </w:rPr>
        <w:t>Practical Expedient for Transition to Topic 842</w:t>
      </w:r>
      <w:r>
        <w:rPr>
          <w:rFonts w:ascii="Arial" w:cs="Arial" w:eastAsia="Arial" w:hAnsi="Arial"/>
          <w:sz w:val="17"/>
          <w:szCs w:val="17"/>
          <w:color w:val="auto"/>
        </w:rPr>
        <w:t>; ASU No. 2018-10,</w:t>
      </w:r>
      <w:r>
        <w:rPr>
          <w:rFonts w:ascii="Arial" w:cs="Arial" w:eastAsia="Arial" w:hAnsi="Arial"/>
          <w:sz w:val="17"/>
          <w:szCs w:val="17"/>
          <w:i w:val="1"/>
          <w:iCs w:val="1"/>
          <w:color w:val="auto"/>
        </w:rPr>
        <w:t xml:space="preserve"> Codification Improvements to Topic 842, Leases</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Targeted Improvements</w:t>
      </w:r>
      <w:r>
        <w:rPr>
          <w:rFonts w:ascii="Arial" w:cs="Arial" w:eastAsia="Arial" w:hAnsi="Arial"/>
          <w:sz w:val="17"/>
          <w:szCs w:val="17"/>
          <w:color w:val="auto"/>
        </w:rPr>
        <w:t>. The new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An optional transition approach is required under ASU 2018-11, applying the new standard to all leases existing at the date of initial application.</w:t>
      </w:r>
    </w:p>
    <w:p>
      <w:pPr>
        <w:spacing w:after="0" w:line="181"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 xml:space="preserve">On January 1, 2020,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(ASC 842), using the optional transition method allowing entities to recognize a cumulative effect adjustment to the opening balance sheet without restating comparative prior periods presented. ASC 842 requires a lessee to recognize assets and liabilities on the balance sheet for most leases and changes many key definitions, including the definition of a lease. Lessees will continue to differentiate between finance leases and operating, and classification will impact expense recognition.</w:t>
      </w:r>
    </w:p>
    <w:p>
      <w:pPr>
        <w:spacing w:after="0" w:line="176"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 xml:space="preserve">The Company elected the following practical expedients for all lease asset classes, which must be elected as a package and applied consistently to all of its leases at the transition date: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are classified as operating leases); and iii) the Company did not reassess initial direct costs for any existing leases.</w:t>
      </w:r>
    </w:p>
    <w:p>
      <w:pPr>
        <w:spacing w:after="0" w:line="192"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facts and circumstances present in the arrangement. Leases with a term greater than one year are recognized on the balance sheet as right-of-use assets and short-term and long-term lease liabilities, as applicable. The Company has elected the practical expedient not to recognize leases on the balance with a term of twelve months or less. The Company’s leases consist of office and lab space and office equipment. All of the Company’s leases are classified as operating, and options to renew a lease are only included in the lease term to the extent those options are reasonably certain to be exercised. Additionally, the Company elected to apply the practical expedient not to separate lease and nonlease components for all leases.</w:t>
      </w:r>
    </w:p>
    <w:p>
      <w:pPr>
        <w:spacing w:after="0" w:line="192"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Operating lease liabilities and their corresponding ROU assets are initially recorded based on the present value of lease payments over the expected remaining lease term. The rate implicit in lease contracts is typically not readily determinable, and as a result, the Company utilizes its incremental borrowing rate to discount lease payments, which reflects the fixed rate at which the Company could borrow on a collateralized basis the amount of the lease payments,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95"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The adoption of ASC 842 resulted in the recognition of operating lease ROU assets and operating lease liabilities of $12.2 million and $22.8 million, respectively, on the Company’s condensed consolidated balance sheet, with the difference between the ROU asset and lease liability primarily attributable to unamortized lease incentives and deferred rent related to its lease for its corporate headquarters at 900 Middlesex Turnpike in Billerica, Massachusetts (the “900 Middlesex Turnpike Lease”).</w:t>
      </w:r>
    </w:p>
    <w:p>
      <w:pPr>
        <w:spacing w:after="0" w:line="188" w:lineRule="exact"/>
        <w:rPr>
          <w:sz w:val="20"/>
          <w:szCs w:val="20"/>
          <w:color w:val="auto"/>
        </w:rPr>
      </w:pPr>
    </w:p>
    <w:p>
      <w:pPr>
        <w:jc w:val="both"/>
        <w:ind w:left="40" w:right="179" w:firstLine="648"/>
        <w:spacing w:after="0" w:line="286"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This ASU eliminates Step 2 from the goodwill impairment test. In addition,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from any tax deductible goodwill on the carrying amount of the reporting unit should be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75" w:lineRule="auto"/>
        <w:rPr>
          <w:sz w:val="20"/>
          <w:szCs w:val="20"/>
          <w:color w:val="auto"/>
        </w:rPr>
      </w:pPr>
      <w:r>
        <w:rPr>
          <w:rFonts w:ascii="Arial" w:cs="Arial" w:eastAsia="Arial" w:hAnsi="Arial"/>
          <w:sz w:val="17"/>
          <w:szCs w:val="17"/>
          <w:color w:val="auto"/>
        </w:rPr>
        <w:t>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Company adopted this ASU on January 1, 2020 with no material effect to its financial statements.</w:t>
      </w:r>
    </w:p>
    <w:p>
      <w:pPr>
        <w:spacing w:after="0" w:line="176"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In August 2018, the FASB issued ASU No. 2018</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“Fair Value Measurement (Topic 820),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Fair Value Measurement”</w:t>
      </w:r>
      <w:r>
        <w:rPr>
          <w:rFonts w:ascii="Arial" w:cs="Arial" w:eastAsia="Arial" w:hAnsi="Arial"/>
          <w:sz w:val="17"/>
          <w:szCs w:val="17"/>
          <w:color w:val="auto"/>
        </w:rPr>
        <w:t>. This ASU removed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and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ASU 2018</w:t>
      </w:r>
      <w:r>
        <w:rPr>
          <w:rFonts w:ascii="MS PGothic" w:cs="MS PGothic" w:eastAsia="MS PGothic" w:hAnsi="MS PGothic"/>
          <w:sz w:val="17"/>
          <w:szCs w:val="17"/>
          <w:color w:val="auto"/>
        </w:rPr>
        <w:t>‑</w:t>
      </w:r>
      <w:r>
        <w:rPr>
          <w:rFonts w:ascii="Arial" w:cs="Arial" w:eastAsia="Arial" w:hAnsi="Arial"/>
          <w:sz w:val="17"/>
          <w:szCs w:val="17"/>
          <w:color w:val="auto"/>
        </w:rPr>
        <w:t>13 will be effective for fiscal years beginning after December 15, 2019 with early adoption permitted. The Company adopted this ASU on January 1, 2020 with no material effect to its financial statements.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Not Yet Adopted</w:t>
      </w:r>
    </w:p>
    <w:p>
      <w:pPr>
        <w:spacing w:after="0" w:line="23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amends the impairment model by requiring entities to use a</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approach based on expected losses to estimate credit losses on certain types of financial instruments, including trade receivables and available-for-sale debt securities. The standard is effective for the Company beginning in the first quarter of 2021, with early adoption permitted. The Company is currently evaluating the expected impact of ASU 2016-13 on its financial statements.</w:t>
      </w:r>
    </w:p>
    <w:p>
      <w:pPr>
        <w:spacing w:after="0" w:line="192" w:lineRule="exact"/>
        <w:rPr>
          <w:sz w:val="20"/>
          <w:szCs w:val="20"/>
          <w:color w:val="auto"/>
        </w:rPr>
      </w:pPr>
    </w:p>
    <w:p>
      <w:pPr>
        <w:ind w:left="40" w:right="919" w:firstLine="648"/>
        <w:spacing w:after="0" w:line="223" w:lineRule="exact"/>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40" w:right="159" w:firstLine="648"/>
        <w:spacing w:after="0" w:line="311"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9"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 xml:space="preserve">The Company adopted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2019, using the modified retrospective method for all contracts not completed as of the date of adoption.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40" w:right="21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104" w:lineRule="exact"/>
        <w:rPr>
          <w:sz w:val="20"/>
          <w:szCs w:val="20"/>
          <w:color w:val="auto"/>
        </w:rPr>
      </w:pPr>
    </w:p>
    <w:p>
      <w:pPr>
        <w:ind w:left="40" w:right="379" w:firstLine="648"/>
        <w:spacing w:after="0" w:line="296" w:lineRule="auto"/>
        <w:rPr>
          <w:sz w:val="20"/>
          <w:szCs w:val="20"/>
          <w:color w:val="auto"/>
        </w:rPr>
      </w:pPr>
      <w:r>
        <w:rPr>
          <w:rFonts w:ascii="Arial" w:cs="Arial" w:eastAsia="Arial" w:hAnsi="Arial"/>
          <w:sz w:val="16"/>
          <w:szCs w:val="16"/>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recognized revenues from a sales- or usage- based royalties related to the licensing of the Company’s technology and intellectual property.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EMEA</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Asia Pacific</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Instruments</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Consumable and other products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services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Collaboration and license 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b w:val="1"/>
                <w:bCs w:val="1"/>
                <w:color w:val="auto"/>
                <w:w w:val="94"/>
              </w:rPr>
              <w:t>March 31, 2019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EMEA</w:t>
            </w:r>
          </w:p>
        </w:tc>
        <w:tc>
          <w:tcPr>
            <w:tcW w:w="1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Asia Pacific</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Instruments</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1,145</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Consumable and other products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5,016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3,233</w:t>
            </w:r>
          </w:p>
        </w:tc>
        <w:tc>
          <w:tcPr>
            <w:tcW w:w="1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Research services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Collaboration and license 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5" w:lineRule="exact"/>
        <w:rPr>
          <w:sz w:val="20"/>
          <w:szCs w:val="20"/>
          <w:color w:val="auto"/>
        </w:rPr>
      </w:pPr>
    </w:p>
    <w:p>
      <w:pPr>
        <w:jc w:val="both"/>
        <w:ind w:left="40" w:right="199" w:firstLine="648"/>
        <w:spacing w:after="0" w:line="301" w:lineRule="auto"/>
        <w:rPr>
          <w:sz w:val="20"/>
          <w:szCs w:val="20"/>
          <w:color w:val="auto"/>
        </w:rPr>
      </w:pPr>
      <w:r>
        <w:rPr>
          <w:rFonts w:ascii="Arial" w:cs="Arial" w:eastAsia="Arial" w:hAnsi="Arial"/>
          <w:sz w:val="16"/>
          <w:szCs w:val="16"/>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the period the underlying transaction occurs. The Company has recorded sales- or usage-based royalty revenue for the three months ended March 31, 2020 related to the intellectual property licensed by the Company. The Company recognizes revenue from sales- or usage-based royalty revenue at the later of when the sale or usage occurs and the satisfaction or partial satisfaction of the performance obligation to which the royalty has been allocated.</w:t>
      </w:r>
    </w:p>
    <w:p>
      <w:pPr>
        <w:spacing w:after="0" w:line="171"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aggregate amount of transaction price that is allocated to performance obligations that have not yet been satisfied or are partially satisfied as of March 31, 2020 and 2019 is $5.8 million and $5.9 million, respectively. As of March 31, 2020, of the performance obligations not yet satisfied or partially satisfied, $5.4 million is expected to be recognized as revenue in the next 12 months, with the remainder to be recognized within the 24 months thereafter. The $5.8 million at March 31, 2020 principally consists of amounts billed for undelivered services related to initial and extended service-type warranties and research services, as well as $1.7 million related to undelivered licenses of intellectual property for a diagnostics company (see Note 13).</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-115570</wp:posOffset>
            </wp:positionV>
            <wp:extent cx="45262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6280" cy="145415"/>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deferred revenue</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March 31, 2020</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20" w:type="dxa"/>
            <w:vAlign w:val="bottom"/>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March 31, 2020</w:t>
            </w:r>
          </w:p>
        </w:tc>
      </w:tr>
      <w:tr>
        <w:trPr>
          <w:trHeight w:val="195"/>
        </w:trPr>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line="195" w:lineRule="exact"/>
              <w:rPr>
                <w:sz w:val="20"/>
                <w:szCs w:val="20"/>
                <w:color w:val="auto"/>
              </w:rPr>
            </w:pPr>
            <w:r>
              <w:rPr>
                <w:rFonts w:ascii="Arial" w:cs="Arial" w:eastAsia="Arial" w:hAnsi="Arial"/>
                <w:sz w:val="18"/>
                <w:szCs w:val="18"/>
                <w:color w:val="auto"/>
              </w:rPr>
              <w:t>5,163</w:t>
            </w:r>
          </w:p>
        </w:tc>
      </w:tr>
      <w:tr>
        <w:trPr>
          <w:trHeight w:val="216"/>
        </w:trPr>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30"/>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r>
      <w:tr>
        <w:trPr>
          <w:trHeight w:val="216"/>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r>
    </w:tbl>
    <w:p>
      <w:pPr>
        <w:spacing w:after="0" w:line="608" w:lineRule="exact"/>
        <w:rPr>
          <w:sz w:val="20"/>
          <w:szCs w:val="20"/>
          <w:color w:val="auto"/>
        </w:rPr>
      </w:pPr>
    </w:p>
    <w:p>
      <w:pPr>
        <w:sectPr>
          <w:pgSz w:w="11900" w:h="16838" w:orient="portrait"/>
          <w:cols w:equalWidth="0" w:num="2">
            <w:col w:w="5160" w:space="720"/>
            <w:col w:w="3139"/>
          </w:cols>
          <w:pgMar w:left="1440" w:top="125" w:right="1440" w:bottom="1440" w:gutter="0" w:footer="0" w:header="0"/>
          <w:type w:val="continuous"/>
        </w:sectPr>
      </w:pPr>
    </w:p>
    <w:p>
      <w:pPr>
        <w:spacing w:after="0" w:line="25"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-130175</wp:posOffset>
            </wp:positionV>
            <wp:extent cx="45262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14605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6"/>
          <w:szCs w:val="16"/>
          <w:color w:val="auto"/>
        </w:rPr>
        <w:t>Recognition of costs to obtain a contract</w:t>
      </w:r>
    </w:p>
    <w:p>
      <w:pPr>
        <w:spacing w:after="0" w:line="4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March 31, 2020</w:t>
            </w:r>
          </w:p>
        </w:tc>
      </w:tr>
      <w:tr>
        <w:trPr>
          <w:trHeight w:val="195"/>
        </w:trPr>
        <w:tc>
          <w:tcPr>
            <w:tcW w:w="2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line="195" w:lineRule="exact"/>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17"/>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bl>
    <w:p>
      <w:pPr>
        <w:spacing w:after="0" w:line="200" w:lineRule="exact"/>
        <w:rPr>
          <w:sz w:val="20"/>
          <w:szCs w:val="20"/>
          <w:color w:val="auto"/>
        </w:rPr>
      </w:pPr>
    </w:p>
    <w:p>
      <w:pPr>
        <w:sectPr>
          <w:pgSz w:w="11900" w:h="16838" w:orient="portrait"/>
          <w:cols w:equalWidth="0" w:num="2">
            <w:col w:w="5280" w:space="720"/>
            <w:col w:w="3019"/>
          </w:cols>
          <w:pgMar w:left="1440" w:top="125" w:right="1440" w:bottom="1440" w:gutter="0" w:footer="0" w:header="0"/>
          <w:type w:val="continuous"/>
        </w:sectPr>
      </w:pPr>
    </w:p>
    <w:p>
      <w:pPr>
        <w:spacing w:after="0" w:line="2"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color w:val="auto"/>
        </w:rPr>
        <w:t>performs its obligations under the contract and when the customer pays is one year or less. None of the Company’s contracts contained a significant financing component as of March 31, 2020 and 2019, respectively.</w:t>
      </w:r>
    </w:p>
    <w:p>
      <w:pPr>
        <w:spacing w:after="0" w:line="124"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8"/>
          <w:szCs w:val="18"/>
          <w:color w:val="auto"/>
        </w:rPr>
        <w:t>Basic net loss per common share is calculated by dividing the net loss by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outstanding during the period, without consideration for potentially dilutive securities. Diluted net loss per share is computed by dividing the net loss by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and potentially dilutive securities outstanding for the period determined using the treasury</w:t>
      </w:r>
      <w:r>
        <w:rPr>
          <w:rFonts w:ascii="MS PGothic" w:cs="MS PGothic" w:eastAsia="MS PGothic" w:hAnsi="MS PGothic"/>
          <w:sz w:val="18"/>
          <w:szCs w:val="18"/>
          <w:color w:val="auto"/>
        </w:rPr>
        <w:t>‑</w:t>
      </w:r>
      <w:r>
        <w:rPr>
          <w:rFonts w:ascii="Arial" w:cs="Arial" w:eastAsia="Arial" w:hAnsi="Arial"/>
          <w:sz w:val="18"/>
          <w:szCs w:val="18"/>
          <w:color w:val="auto"/>
        </w:rPr>
        <w:t>stock and if</w:t>
      </w:r>
      <w:r>
        <w:rPr>
          <w:rFonts w:ascii="MS PGothic" w:cs="MS PGothic" w:eastAsia="MS PGothic" w:hAnsi="MS PGothic"/>
          <w:sz w:val="18"/>
          <w:szCs w:val="18"/>
          <w:color w:val="auto"/>
        </w:rPr>
        <w:t>‑</w:t>
      </w:r>
      <w:r>
        <w:rPr>
          <w:rFonts w:ascii="Arial" w:cs="Arial" w:eastAsia="Arial" w:hAnsi="Arial"/>
          <w:sz w:val="18"/>
          <w:szCs w:val="18"/>
          <w:color w:val="auto"/>
        </w:rPr>
        <w:t>converted methods. 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and therefore basic and diluted net loss per share were the same for all periods presented.</w:t>
      </w:r>
    </w:p>
    <w:p>
      <w:pPr>
        <w:spacing w:after="0" w:line="205" w:lineRule="exact"/>
        <w:rPr>
          <w:sz w:val="20"/>
          <w:szCs w:val="20"/>
          <w:color w:val="auto"/>
        </w:rPr>
      </w:pPr>
    </w:p>
    <w:p>
      <w:pPr>
        <w:ind w:left="40" w:right="559" w:firstLine="648"/>
        <w:spacing w:after="0" w:line="224" w:lineRule="exact"/>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w:t>
      </w:r>
      <w:r>
        <w:rPr>
          <w:rFonts w:ascii="MS PGothic" w:cs="MS PGothic" w:eastAsia="MS PGothic" w:hAnsi="MS PGothic"/>
          <w:sz w:val="16"/>
          <w:szCs w:val="16"/>
          <w:color w:val="auto"/>
        </w:rPr>
        <w:t>‑</w:t>
      </w:r>
      <w:r>
        <w:rPr>
          <w:rFonts w:ascii="Arial" w:cs="Arial" w:eastAsia="Arial" w:hAnsi="Arial"/>
          <w:sz w:val="16"/>
          <w:szCs w:val="16"/>
          <w:color w:val="auto"/>
        </w:rPr>
        <w:t>dilutive (in common stock equivalent shares):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160" w:type="dxa"/>
            <w:vAlign w:val="bottom"/>
            <w:gridSpan w:val="4"/>
          </w:tcPr>
          <w:p>
            <w:pPr>
              <w:ind w:left="7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419,716</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2,840,525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2,802,343</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60" w:type="dxa"/>
            <w:vAlign w:val="bottom"/>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3,412,311</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3,298,100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As of March 31, 2020 and 2019,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ind w:left="40" w:right="159" w:firstLine="648"/>
        <w:spacing w:after="0" w:line="220" w:lineRule="exact"/>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March 31, 2020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Quoted prices</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vMerge w:val="continue"/>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inputs (Level 2)</w:t>
            </w:r>
          </w:p>
        </w:tc>
        <w:tc>
          <w:tcPr>
            <w:tcW w:w="12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700" w:type="dxa"/>
            <w:vAlign w:val="bottom"/>
          </w:tcPr>
          <w:p>
            <w:pPr>
              <w:jc w:val="right"/>
              <w:spacing w:after="0"/>
              <w:rPr>
                <w:sz w:val="20"/>
                <w:szCs w:val="20"/>
                <w:color w:val="auto"/>
              </w:rPr>
            </w:pPr>
            <w:r>
              <w:rPr>
                <w:rFonts w:ascii="Arial" w:cs="Arial" w:eastAsia="Arial" w:hAnsi="Arial"/>
                <w:sz w:val="18"/>
                <w:szCs w:val="18"/>
                <w:color w:val="auto"/>
                <w:w w:val="85"/>
              </w:rPr>
              <w:t>$ 91,916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91,916</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$ 92,066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91,916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2019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18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 other</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3"/>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43"/>
              <w:spacing w:after="0" w:line="149" w:lineRule="exact"/>
              <w:rPr>
                <w:sz w:val="20"/>
                <w:szCs w:val="20"/>
                <w:color w:val="auto"/>
              </w:rPr>
            </w:pPr>
            <w:r>
              <w:rPr>
                <w:rFonts w:ascii="Arial" w:cs="Arial" w:eastAsia="Arial" w:hAnsi="Arial"/>
                <w:sz w:val="14"/>
                <w:szCs w:val="14"/>
                <w:b w:val="1"/>
                <w:bCs w:val="1"/>
                <w:color w:val="auto"/>
                <w:w w:val="93"/>
              </w:rPr>
              <w:t>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43"/>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$ 109,155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109,155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$ 109,305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109,155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780" w:type="dxa"/>
            <w:vAlign w:val="bottom"/>
          </w:tcPr>
          <w:p>
            <w:pPr>
              <w:spacing w:after="0"/>
              <w:rPr>
                <w:sz w:val="20"/>
                <w:szCs w:val="20"/>
                <w:color w:val="auto"/>
              </w:rPr>
            </w:pPr>
            <w:r>
              <w:rPr>
                <w:rFonts w:ascii="Arial" w:cs="Arial" w:eastAsia="Arial" w:hAnsi="Arial"/>
                <w:sz w:val="18"/>
                <w:szCs w:val="18"/>
                <w:b w:val="1"/>
                <w:bCs w:val="1"/>
                <w:color w:val="auto"/>
              </w:rPr>
              <w:t>6. Inventory</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5"/>
          </w:tcPr>
          <w:p>
            <w:pPr>
              <w:ind w:left="2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3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0"/>
        </w:trPr>
        <w:tc>
          <w:tcPr>
            <w:tcW w:w="478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jc w:val="both"/>
        <w:ind w:left="40" w:right="160" w:firstLine="648"/>
        <w:spacing w:after="0" w:line="263"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During the third quarter of 2018, the Company was issued a convertible note by a privately held company having a principal amount of $0.2 million.</w:t>
      </w:r>
    </w:p>
    <w:p>
      <w:pPr>
        <w:spacing w:after="0" w:line="184" w:lineRule="exact"/>
        <w:rPr>
          <w:sz w:val="20"/>
          <w:szCs w:val="20"/>
          <w:color w:val="auto"/>
        </w:rPr>
      </w:pPr>
    </w:p>
    <w:p>
      <w:pPr>
        <w:ind w:left="40" w:right="180" w:firstLine="648"/>
        <w:spacing w:after="0" w:line="255" w:lineRule="auto"/>
        <w:rPr>
          <w:sz w:val="20"/>
          <w:szCs w:val="20"/>
          <w:color w:val="auto"/>
        </w:rPr>
      </w:pPr>
      <w:r>
        <w:rPr>
          <w:rFonts w:ascii="Arial" w:cs="Arial" w:eastAsia="Arial" w:hAnsi="Arial"/>
          <w:sz w:val="18"/>
          <w:szCs w:val="18"/>
          <w:color w:val="auto"/>
        </w:rPr>
        <w:t>The preferred stock investment is recorded on a cost basis in other non-current assets on the accompanying balance sheets as the Company does not have a controlling interest, does not have the ability to exercise significant influence over the privately held company, and the fair value of the equity investment is not readily determinable. The Company performs an impairment analysis at each reporting period to determine if there is any readily available fair value information that would indicate an impairment. The Company has determined there was no impairment during the three months ended March 31, 2020 or in any prior period.</w:t>
      </w:r>
    </w:p>
    <w:p>
      <w:pPr>
        <w:spacing w:after="0" w:line="192" w:lineRule="exact"/>
        <w:rPr>
          <w:sz w:val="20"/>
          <w:szCs w:val="20"/>
          <w:color w:val="auto"/>
        </w:rPr>
      </w:pPr>
    </w:p>
    <w:p>
      <w:pPr>
        <w:jc w:val="both"/>
        <w:ind w:left="40" w:right="420" w:firstLine="648"/>
        <w:spacing w:after="0" w:line="259" w:lineRule="auto"/>
        <w:rPr>
          <w:sz w:val="20"/>
          <w:szCs w:val="20"/>
          <w:color w:val="auto"/>
        </w:rPr>
      </w:pPr>
      <w:r>
        <w:rPr>
          <w:rFonts w:ascii="Arial" w:cs="Arial" w:eastAsia="Arial" w:hAnsi="Arial"/>
          <w:sz w:val="18"/>
          <w:szCs w:val="18"/>
          <w:color w:val="auto"/>
        </w:rPr>
        <w:t>The convertible note is held as an available-for-sale investment, which is carried at fair market value, with the unrealized gains and losses included in the determination of comprehensive income and reporting stockholders equity. When determining the estimated fair value of the convertible notes, the Company used a commonly accepted valuation methodology.</w:t>
      </w:r>
    </w:p>
    <w:p>
      <w:pPr>
        <w:spacing w:after="0" w:line="187" w:lineRule="exact"/>
        <w:rPr>
          <w:sz w:val="20"/>
          <w:szCs w:val="20"/>
          <w:color w:val="auto"/>
        </w:rPr>
      </w:pPr>
    </w:p>
    <w:p>
      <w:pPr>
        <w:ind w:left="40" w:right="560" w:firstLine="648"/>
        <w:spacing w:after="0" w:line="342" w:lineRule="auto"/>
        <w:rPr>
          <w:sz w:val="20"/>
          <w:szCs w:val="20"/>
          <w:color w:val="auto"/>
        </w:rPr>
      </w:pPr>
      <w:r>
        <w:rPr>
          <w:rFonts w:ascii="Arial" w:cs="Arial" w:eastAsia="Arial" w:hAnsi="Arial"/>
          <w:sz w:val="16"/>
          <w:szCs w:val="16"/>
          <w:color w:val="auto"/>
        </w:rPr>
        <w:t>Equity investments that do not result in consolidation and are not accounted for under the equity method are measured at fair value, with any changes in fair value recognized in net income. For any such investments that do not</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5" w:right="1419"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63" w:lineRule="auto"/>
        <w:rPr>
          <w:sz w:val="20"/>
          <w:szCs w:val="20"/>
          <w:color w:val="auto"/>
        </w:rPr>
      </w:pPr>
      <w:r>
        <w:rPr>
          <w:rFonts w:ascii="Arial" w:cs="Arial" w:eastAsia="Arial" w:hAnsi="Arial"/>
          <w:sz w:val="18"/>
          <w:szCs w:val="18"/>
          <w:color w:val="auto"/>
        </w:rPr>
        <w:t>have readily determinable fair values, the Company elects the measurement alternative to measure the investments at cost minus impairment, if any, plus or minus changes resulting from observable price changes in orderly transactions for the identical or a similar investment of the same issuer.</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Other accrued expenses and other non-current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Accrued royalties</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09"/>
        </w:trPr>
        <w:tc>
          <w:tcPr>
            <w:tcW w:w="376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3,068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r>
      <w:tr>
        <w:trPr>
          <w:trHeight w:val="426"/>
        </w:trPr>
        <w:tc>
          <w:tcPr>
            <w:tcW w:w="5680" w:type="dxa"/>
            <w:vAlign w:val="bottom"/>
            <w:gridSpan w:val="3"/>
          </w:tcPr>
          <w:p>
            <w:pPr>
              <w:ind w:left="660"/>
              <w:spacing w:after="0"/>
              <w:rPr>
                <w:sz w:val="20"/>
                <w:szCs w:val="20"/>
                <w:color w:val="auto"/>
              </w:rPr>
            </w:pPr>
            <w:r>
              <w:rPr>
                <w:rFonts w:ascii="Arial" w:cs="Arial" w:eastAsia="Arial" w:hAnsi="Arial"/>
                <w:sz w:val="18"/>
                <w:szCs w:val="18"/>
                <w:color w:val="auto"/>
                <w:w w:val="95"/>
              </w:rPr>
              <w:t>Other non-current liabilities consist of the following (in thousands):</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5"/>
        </w:trPr>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center"/>
              <w:ind w:right="294"/>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7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Leasehold obligation incentive</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Deferred rent</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16"/>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non-current liabilities</w:t>
            </w:r>
          </w:p>
        </w:tc>
        <w:tc>
          <w:tcPr>
            <w:tcW w:w="1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r>
    </w:tbl>
    <w:p>
      <w:pPr>
        <w:spacing w:after="0" w:line="202"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As part of the Company’s adoption of ASC 842 on January 1, 2020, the Company derecognized the leasehold obligation incentive of $7.6 million and deferred rent of $3.0 million. Per ASC 842 the leasehold obligation incentive and deferred rent reduce the Company’s ROU assets at time of adoption for the related leases. Refer to Note 2 and Note 10 for further detail.</w:t>
      </w:r>
    </w:p>
    <w:p>
      <w:pPr>
        <w:spacing w:after="0" w:line="183" w:lineRule="exact"/>
        <w:rPr>
          <w:sz w:val="20"/>
          <w:szCs w:val="20"/>
          <w:color w:val="auto"/>
        </w:rPr>
      </w:pPr>
    </w:p>
    <w:p>
      <w:pPr>
        <w:ind w:left="40" w:right="1619" w:firstLine="4"/>
        <w:spacing w:after="0" w:line="503"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ind w:left="40" w:right="639" w:firstLine="648"/>
        <w:spacing w:after="0" w:line="277" w:lineRule="auto"/>
        <w:rPr>
          <w:sz w:val="20"/>
          <w:szCs w:val="20"/>
          <w:color w:val="auto"/>
        </w:rPr>
      </w:pPr>
      <w:r>
        <w:rPr>
          <w:rFonts w:ascii="Arial" w:cs="Arial" w:eastAsia="Arial" w:hAnsi="Arial"/>
          <w:sz w:val="18"/>
          <w:szCs w:val="18"/>
          <w:color w:val="auto"/>
        </w:rPr>
        <w:t>The Company issued no warrants during the three months ended March 31, 2020, and had 10,000 warrants outstanding as of March 31,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all stock awards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6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bl>
    <w:p>
      <w:pPr>
        <w:spacing w:after="0" w:line="202" w:lineRule="exact"/>
        <w:rPr>
          <w:sz w:val="20"/>
          <w:szCs w:val="20"/>
          <w:color w:val="auto"/>
        </w:rPr>
      </w:pPr>
    </w:p>
    <w:p>
      <w:pPr>
        <w:ind w:left="40" w:right="259" w:firstLine="648"/>
        <w:spacing w:after="0" w:line="342" w:lineRule="auto"/>
        <w:rPr>
          <w:sz w:val="20"/>
          <w:szCs w:val="20"/>
          <w:color w:val="auto"/>
        </w:rPr>
      </w:pPr>
      <w:r>
        <w:rPr>
          <w:rFonts w:ascii="Arial" w:cs="Arial" w:eastAsia="Arial" w:hAnsi="Arial"/>
          <w:sz w:val="16"/>
          <w:szCs w:val="16"/>
          <w:color w:val="auto"/>
        </w:rPr>
        <w:t>As of March 31, 2020, under the 2007 Stock Option and Grant Plan (the 2007 Plan), options to purchase 1,178,538 shares of common stock were outstanding and no shares of common stock were available for future awards.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connection with the completion of the Company’s initial public offering (IPO) in December 2017, the Company terminated the 2007 Plan.</w:t>
      </w:r>
    </w:p>
    <w:p>
      <w:pPr>
        <w:spacing w:after="0" w:line="170"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In December 2017, the Company adopted the 2017 Employee, Director and Consultant Equity Incentive Plan (the 2017 Plan), under which it may grant incentive stock options,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options, restricted stock, and other stock</w:t>
      </w:r>
      <w:r>
        <w:rPr>
          <w:rFonts w:ascii="MS PGothic" w:cs="MS PGothic" w:eastAsia="MS PGothic" w:hAnsi="MS PGothic"/>
          <w:sz w:val="17"/>
          <w:szCs w:val="17"/>
          <w:color w:val="auto"/>
        </w:rPr>
        <w:t>‑</w:t>
      </w:r>
      <w:r>
        <w:rPr>
          <w:rFonts w:ascii="Arial" w:cs="Arial" w:eastAsia="Arial" w:hAnsi="Arial"/>
          <w:sz w:val="17"/>
          <w:szCs w:val="17"/>
          <w:color w:val="auto"/>
        </w:rPr>
        <w:t>based awards. Upon its adoption,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The number of shares available for grant under the 2017 Plan increased by 1,126,172 on January 1, 2020 due to this provision. As of March 31, 2020, under the 2017 Plan, options to purchase 1,661,987 shares of common stock were outstanding and unvested restricted stock units for 521,980 shares of common stock were outstanding. As of March 31, 2020, 802,135 shares were available for grant under the 2017 Plan.</w:t>
      </w:r>
    </w:p>
    <w:p>
      <w:pPr>
        <w:spacing w:after="0" w:line="207"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In December 2017, the Company adopted the 2017 Employee Stock Purchase Plan (the 2017 ESPP).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281,543 on January 1, 2020 due to this provision. As of March 31, 2020, 871,422 shares were available for issuance under the 2017 ESPP.</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w:t>
      </w:r>
      <w:r>
        <w:rPr>
          <w:rFonts w:ascii="MS PGothic" w:cs="MS PGothic" w:eastAsia="MS PGothic" w:hAnsi="MS PGothic"/>
          <w:sz w:val="17"/>
          <w:szCs w:val="17"/>
          <w:color w:val="auto"/>
        </w:rPr>
        <w:t>‑</w:t>
      </w:r>
      <w:r>
        <w:rPr>
          <w:rFonts w:ascii="Arial" w:cs="Arial" w:eastAsia="Arial" w:hAnsi="Arial"/>
          <w:sz w:val="17"/>
          <w:szCs w:val="17"/>
          <w:color w:val="auto"/>
        </w:rPr>
        <w:t>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 contractual</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2"/>
              </w:rPr>
              <w:t>Aggregate intrinsic value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2,507,062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428,271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(31,734)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2,840,525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Vested and expected to vest at</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March 31, 2020</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2,840,525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14,641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1,411,836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Using the Black-Scholes option pricing model, the weighted-average fair value of options granted to employees and directors during the three months ended March 31, 2020 and 2019 was $11.82 and $7.90 per share, respectively. The expense related to awards granted to employees was $1.1 million and $0.7 million for the three months ended March 31, 2020 and 2019, respectively. The intrinsic value of stock options exercised was $1.1 million and $1.2 million for the three months ended March 31, 2020 and 2019, respectively. Activity related to non-employee awards was not material to the three months ended March 31, 2020 and 2019.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common stock awards were granted or vested during the three months ended March 31, 2020. As of March 31, 2020, the Company had 39,806 shares of unvested restricted common stock with a weighted average grant date fair value of $3.12 per share.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40" w:right="219" w:firstLine="648"/>
        <w:spacing w:after="0" w:line="286"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three months ended March 31, 2020, the Company issued 210,074 RSUs to employees of the Company under the 2017 Plan. Under the terms of the agreements, 191,867 of the RSUs issued are subject to a four-year vesting schedule with 25% vesting on the first anniversary of the grant date and the remaining vesting 75% ratably on</w:t>
      </w:r>
    </w:p>
    <w:p>
      <w:pPr>
        <w:spacing w:after="0" w:line="1" w:lineRule="exact"/>
        <w:rPr>
          <w:sz w:val="20"/>
          <w:szCs w:val="20"/>
          <w:color w:val="auto"/>
        </w:rPr>
      </w:pPr>
    </w:p>
    <w:p>
      <w:pPr>
        <w:ind w:left="40" w:right="779"/>
        <w:spacing w:after="0" w:line="260" w:lineRule="auto"/>
        <w:rPr>
          <w:sz w:val="20"/>
          <w:szCs w:val="20"/>
          <w:color w:val="auto"/>
        </w:rPr>
      </w:pPr>
      <w:r>
        <w:rPr>
          <w:rFonts w:ascii="Arial" w:cs="Arial" w:eastAsia="Arial" w:hAnsi="Arial"/>
          <w:sz w:val="18"/>
          <w:szCs w:val="18"/>
          <w:color w:val="auto"/>
        </w:rPr>
        <w:t>a monthly basis over the remaining three years; 15,890 of the RSUs vest on December 31, 2020; and 2,317 vested immediately upon grant. A summary of RSU activity is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370,123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210,074</w:t>
            </w:r>
          </w:p>
        </w:tc>
        <w:tc>
          <w:tcPr>
            <w:tcW w:w="1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(45,474)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(12,743)</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March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521,980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expense related to awards granted to employees and directors was $0.9 million and $0.5 million for the three months ended March 31, 2020 and 2019, respectively.</w:t>
      </w:r>
    </w:p>
    <w:p>
      <w:pPr>
        <w:spacing w:after="0" w:line="170" w:lineRule="exact"/>
        <w:rPr>
          <w:sz w:val="20"/>
          <w:szCs w:val="20"/>
          <w:color w:val="auto"/>
        </w:rPr>
      </w:pPr>
    </w:p>
    <w:p>
      <w:pPr>
        <w:jc w:val="both"/>
        <w:ind w:left="40" w:right="99" w:firstLine="648"/>
        <w:spacing w:after="0" w:line="224" w:lineRule="exact"/>
        <w:rPr>
          <w:sz w:val="20"/>
          <w:szCs w:val="20"/>
          <w:color w:val="auto"/>
        </w:rPr>
      </w:pPr>
      <w:r>
        <w:rPr>
          <w:rFonts w:ascii="Arial" w:cs="Arial" w:eastAsia="Arial" w:hAnsi="Arial"/>
          <w:sz w:val="16"/>
          <w:szCs w:val="16"/>
          <w:color w:val="auto"/>
        </w:rPr>
        <w:t>At March 31, 2020, there was $11.4 million of total unrecognized compensation cost related to unvested restricted stock units, which is expected to be recognized over the remaining weighted</w:t>
      </w:r>
      <w:r>
        <w:rPr>
          <w:rFonts w:ascii="MS PGothic" w:cs="MS PGothic" w:eastAsia="MS PGothic" w:hAnsi="MS PGothic"/>
          <w:sz w:val="16"/>
          <w:szCs w:val="16"/>
          <w:color w:val="auto"/>
        </w:rPr>
        <w:t>‑</w:t>
      </w:r>
      <w:r>
        <w:rPr>
          <w:rFonts w:ascii="Arial" w:cs="Arial" w:eastAsia="Arial" w:hAnsi="Arial"/>
          <w:sz w:val="16"/>
          <w:szCs w:val="16"/>
          <w:color w:val="auto"/>
        </w:rPr>
        <w:t>average vesting period of 3.07 years.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900 Middlesex Turnpike Lease</w:t>
      </w:r>
    </w:p>
    <w:p>
      <w:pPr>
        <w:spacing w:after="0" w:line="225" w:lineRule="exact"/>
        <w:rPr>
          <w:sz w:val="20"/>
          <w:szCs w:val="20"/>
          <w:color w:val="auto"/>
        </w:rPr>
      </w:pPr>
    </w:p>
    <w:p>
      <w:pPr>
        <w:ind w:left="40" w:right="299" w:firstLine="648"/>
        <w:spacing w:after="0" w:line="296" w:lineRule="auto"/>
        <w:rPr>
          <w:sz w:val="20"/>
          <w:szCs w:val="20"/>
          <w:color w:val="auto"/>
        </w:rPr>
      </w:pPr>
      <w:r>
        <w:rPr>
          <w:rFonts w:ascii="Arial" w:cs="Arial" w:eastAsia="Arial" w:hAnsi="Arial"/>
          <w:sz w:val="16"/>
          <w:szCs w:val="16"/>
          <w:color w:val="auto"/>
        </w:rPr>
        <w:t>The Company’s primary lease is the 900 Middlesex Turnpike Lease. On October 2, 2018, the Company entered into a 137-month operating lease for the Company’s new headquarters in Billerica, Massachusetts. The lease is for approximately 92,000 square feet of office and laboratory space and commenced on April 1, 2019. The lease contains a period of free rent and escalating monthly rent payments. As part of the lease, the Company was required to enter into a $1.0 million Letter of Credit drawable by the lessor under specifically outlined conditions, which will be subsequently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59"/>
        <w:spacing w:after="0" w:line="279" w:lineRule="auto"/>
        <w:rPr>
          <w:sz w:val="20"/>
          <w:szCs w:val="20"/>
          <w:color w:val="auto"/>
        </w:rPr>
      </w:pPr>
      <w:r>
        <w:rPr>
          <w:rFonts w:ascii="Arial" w:cs="Arial" w:eastAsia="Arial" w:hAnsi="Arial"/>
          <w:sz w:val="17"/>
          <w:szCs w:val="17"/>
          <w:color w:val="auto"/>
        </w:rPr>
        <w:t>reduced throughout the lease term. Pursuant to a work letter entered into in connection with the 900 Middlesex Turnpike Lease, the landlord contributed an aggregate of $8.2 million toward the cost of construction and tenant improvements for the building. Under the lease the Company has the option to extend the lease for two successive five-year terms, and the renewal options are not reasonably certain to be exercised.</w:t>
      </w:r>
    </w:p>
    <w:p>
      <w:pPr>
        <w:spacing w:after="0" w:line="171"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In applying the ASC 842 transition guidance, the 900 Middlesex Turnpike Lease remained classified as an operating lease and the Company recorded ROU assets of $12.2 million and lease liability of $22.8 million on the effective date. The difference between the ROU and the lease liability was driven by the Company derecognizing deferred rent of $3.0 million and the lease obligation incentive of $7.6 million. The Company is recognizing rent expense on a straight-line basis throughout the remaining term of the leases.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48 Tvistevägen</w:t>
      </w:r>
    </w:p>
    <w:p>
      <w:pPr>
        <w:spacing w:after="0" w:line="225"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The Company has three leases at 48 Tvistevägen Umeå, Sweden for laboratory spaces, manufacturing spaces, and office space. All of these Uman leases have been assessed as operating leases.</w:t>
      </w:r>
    </w:p>
    <w:p>
      <w:pPr>
        <w:spacing w:after="0" w:line="170"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color w:val="auto"/>
        </w:rPr>
        <w:t>In applying the ASC 842 transition guidance, the Uman leases remained classified as operating leases and the Company recorded ROU assets of less than $0.1 million and lease liability of less than $0.1 million on the effective date. The Company is recognizing rent expense on a straight-line basis throughout the remaining term of the leases.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225"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Operating leases (in thousands)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Lease Costs (1)</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Operating lease costs</w:t>
            </w:r>
          </w:p>
        </w:tc>
        <w:tc>
          <w:tcPr>
            <w:tcW w:w="11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5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419"/>
        </w:trPr>
        <w:tc>
          <w:tcPr>
            <w:tcW w:w="5720" w:type="dxa"/>
            <w:vAlign w:val="bottom"/>
          </w:tcPr>
          <w:p>
            <w:pPr>
              <w:spacing w:after="0"/>
              <w:rPr>
                <w:sz w:val="20"/>
                <w:szCs w:val="20"/>
                <w:color w:val="auto"/>
              </w:rPr>
            </w:pPr>
            <w:r>
              <w:rPr>
                <w:rFonts w:ascii="Arial" w:cs="Arial" w:eastAsia="Arial" w:hAnsi="Arial"/>
                <w:sz w:val="18"/>
                <w:szCs w:val="18"/>
                <w:color w:val="auto"/>
              </w:rPr>
              <w:t>Other information</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11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10.3 years</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52"/>
        <w:spacing w:after="0" w:line="277" w:lineRule="auto"/>
        <w:tabs>
          <w:tab w:leader="none" w:pos="943"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three months ended March 31, 2020 were immaterial.</w:t>
      </w:r>
    </w:p>
    <w:p>
      <w:pPr>
        <w:spacing w:after="0" w:line="170"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As of March 31, 2020, future minimum commitments under ASC 842 under the Company’s operating leases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Maturity of lease liabilities (in thousands)</w:t>
            </w:r>
          </w:p>
        </w:tc>
        <w:tc>
          <w:tcPr>
            <w:tcW w:w="2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As of March 31, 2020</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2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22,203</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37,741</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14,695</w:t>
            </w:r>
          </w:p>
        </w:tc>
      </w:tr>
      <w:tr>
        <w:trPr>
          <w:trHeight w:val="23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3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23,046</w:t>
            </w:r>
          </w:p>
        </w:tc>
      </w:tr>
      <w:tr>
        <w:trPr>
          <w:trHeight w:val="756"/>
        </w:trPr>
        <w:tc>
          <w:tcPr>
            <w:tcW w:w="3460" w:type="dxa"/>
            <w:vAlign w:val="bottom"/>
          </w:tcPr>
          <w:p>
            <w:pPr>
              <w:spacing w:after="0"/>
              <w:rPr>
                <w:sz w:val="24"/>
                <w:szCs w:val="24"/>
                <w:color w:val="auto"/>
              </w:rPr>
            </w:pPr>
          </w:p>
        </w:tc>
        <w:tc>
          <w:tcPr>
            <w:tcW w:w="2340" w:type="dxa"/>
            <w:vAlign w:val="bottom"/>
          </w:tcPr>
          <w:p>
            <w:pPr>
              <w:jc w:val="right"/>
              <w:ind w:right="115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560"/>
        </w:trPr>
        <w:tc>
          <w:tcPr>
            <w:tcW w:w="3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firstLine="648"/>
        <w:spacing w:after="0" w:line="263" w:lineRule="auto"/>
        <w:rPr>
          <w:sz w:val="20"/>
          <w:szCs w:val="20"/>
          <w:color w:val="auto"/>
        </w:rPr>
      </w:pPr>
      <w:r>
        <w:rPr>
          <w:rFonts w:ascii="Arial" w:cs="Arial" w:eastAsia="Arial" w:hAnsi="Arial"/>
          <w:sz w:val="18"/>
          <w:szCs w:val="18"/>
          <w:color w:val="auto"/>
        </w:rPr>
        <w:t>As previously disclosed in the Company’s 2019 Annual Report on Form 10-K and under the previous lease accounting standard, ASC 840, the total commitment for non-cancelable operating leases was $38.0 million as of December 31, 2019 (amounts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2024 and Forward</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25,760</w:t>
            </w:r>
          </w:p>
        </w:tc>
      </w:tr>
      <w:tr>
        <w:trPr>
          <w:trHeight w:val="209"/>
        </w:trPr>
        <w:tc>
          <w:tcPr>
            <w:tcW w:w="7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38,039</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each of the three months ended March 31, 2020 and 2019, the Company recorded royalty expense of $0.2 million in cost of product revenue on the consolidated statements of operations.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year ended December 31, 2012, the Company entered into a license agreement for certain intellectual</w:t>
      </w:r>
    </w:p>
    <w:p>
      <w:pPr>
        <w:spacing w:after="0" w:line="46"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property with a third party. The non</w:t>
      </w:r>
      <w:r>
        <w:rPr>
          <w:rFonts w:ascii="MS PGothic" w:cs="MS PGothic" w:eastAsia="MS PGothic" w:hAnsi="MS PGothic"/>
          <w:sz w:val="16"/>
          <w:szCs w:val="16"/>
          <w:color w:val="auto"/>
        </w:rPr>
        <w:t>‑</w:t>
      </w:r>
      <w:r>
        <w:rPr>
          <w:rFonts w:ascii="Arial" w:cs="Arial" w:eastAsia="Arial" w:hAnsi="Arial"/>
          <w:sz w:val="16"/>
          <w:szCs w:val="16"/>
          <w:color w:val="auto"/>
        </w:rPr>
        <w:t>exclusive, non</w:t>
      </w:r>
      <w:r>
        <w:rPr>
          <w:rFonts w:ascii="MS PGothic" w:cs="MS PGothic" w:eastAsia="MS PGothic" w:hAnsi="MS PGothic"/>
          <w:sz w:val="16"/>
          <w:szCs w:val="16"/>
          <w:color w:val="auto"/>
        </w:rPr>
        <w:t>‑</w:t>
      </w:r>
      <w:r>
        <w:rPr>
          <w:rFonts w:ascii="Arial" w:cs="Arial" w:eastAsia="Arial" w:hAnsi="Arial"/>
          <w:sz w:val="16"/>
          <w:szCs w:val="16"/>
          <w:color w:val="auto"/>
        </w:rPr>
        <w:t>sublicensable license provides the Company access to certain patents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specifically for protein detection, and shall be in effect until the expiration of the last licensed patent. In consideration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these rights, the Company committed to certain license fees, milestone payments, minimum annual royalties and a</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mid</w:t>
      </w:r>
      <w:r>
        <w:rPr>
          <w:rFonts w:ascii="MS PGothic" w:cs="MS PGothic" w:eastAsia="MS PGothic" w:hAnsi="MS PGothic"/>
          <w:sz w:val="16"/>
          <w:szCs w:val="16"/>
          <w:color w:val="auto"/>
        </w:rPr>
        <w:t>‑</w:t>
      </w:r>
      <w:r>
        <w:rPr>
          <w:rFonts w:ascii="Arial" w:cs="Arial" w:eastAsia="Arial" w:hAnsi="Arial"/>
          <w:sz w:val="16"/>
          <w:szCs w:val="16"/>
          <w:color w:val="auto"/>
        </w:rPr>
        <w:t>single digit royalty. The Company is required to make mid</w:t>
      </w:r>
      <w:r>
        <w:rPr>
          <w:rFonts w:ascii="MS PGothic" w:cs="MS PGothic" w:eastAsia="MS PGothic" w:hAnsi="MS PGothic"/>
          <w:sz w:val="16"/>
          <w:szCs w:val="16"/>
          <w:color w:val="auto"/>
        </w:rPr>
        <w:t>‑</w:t>
      </w:r>
      <w:r>
        <w:rPr>
          <w:rFonts w:ascii="Arial" w:cs="Arial" w:eastAsia="Arial" w:hAnsi="Arial"/>
          <w:sz w:val="16"/>
          <w:szCs w:val="16"/>
          <w:color w:val="auto"/>
        </w:rPr>
        <w:t>single digit royalty payments on net sales of products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which utilize the licensed technology. In September 2019, all remaining patents related to the intellectual property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expired and the license agreement terminated. As this agreement was terminated in 2019, the Company recorded no royalty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expense during the three months ended March 31, 2020 and royalty expense of less than $0.1 million in cost of product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on the consolidated statements of operations during the three months ended March 31, 2019.</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Development and supply agreement</w:t>
      </w:r>
    </w:p>
    <w:p>
      <w:pPr>
        <w:spacing w:after="0" w:line="229"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upon completion of the development activities. This amount is being recorded to research and development expense and accrued expenses as the services are performed. The services were completed during the year ended December 31, 2018. Substantive efforts related to these additional development activities started in the first quarter of 2019 and were completed in the third quarter of 2019.</w:t>
      </w:r>
    </w:p>
    <w:p>
      <w:pPr>
        <w:spacing w:after="0" w:line="164" w:lineRule="exact"/>
        <w:rPr>
          <w:sz w:val="20"/>
          <w:szCs w:val="20"/>
          <w:color w:val="auto"/>
        </w:rPr>
      </w:pPr>
    </w:p>
    <w:p>
      <w:pPr>
        <w:ind w:left="40" w:right="239" w:firstLine="648"/>
        <w:spacing w:after="0" w:line="218" w:lineRule="exact"/>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w:t>
      </w:r>
      <w:r>
        <w:rPr>
          <w:rFonts w:ascii="MS PGothic" w:cs="MS PGothic" w:eastAsia="MS PGothic" w:hAnsi="MS PGothic"/>
          <w:sz w:val="16"/>
          <w:szCs w:val="16"/>
          <w:color w:val="auto"/>
        </w:rPr>
        <w:t>‑</w:t>
      </w:r>
      <w:r>
        <w:rPr>
          <w:rFonts w:ascii="Arial" w:cs="Arial" w:eastAsia="Arial" w:hAnsi="Arial"/>
          <w:sz w:val="16"/>
          <w:szCs w:val="16"/>
          <w:color w:val="auto"/>
        </w:rPr>
        <w:t>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March 31, 2020, assuming no additional commercial units were purchased, this fee would equal $9.1 million. The amount the Company could be obligated to pay under the minimum purchase commitment is reduced as each commercial unit is purchased. Also, if the Company terminates the supply agreement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March 31, 2020 and December 31, 2019 was insignificant as there was a low probability of the warrants being issued.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left="40" w:right="7639" w:firstLine="4"/>
        <w:spacing w:after="0" w:line="603" w:lineRule="auto"/>
        <w:tabs>
          <w:tab w:leader="none" w:pos="31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spacing w:after="0" w:line="1"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On April 14, 2014, the Company executed a Loan Agreement with a lender, as subsequently amended. As of March 31, 2020, there were no additional amounts available to borrow under the debt facility. The interest rate on this term loan is variable based on a calculation of the prime rate less 5.25% with a minimum interest rate of 8%. Interest is</w:t>
      </w:r>
    </w:p>
    <w:p>
      <w:pPr>
        <w:spacing w:after="0" w:line="2" w:lineRule="exact"/>
        <w:rPr>
          <w:sz w:val="20"/>
          <w:szCs w:val="20"/>
          <w:color w:val="auto"/>
        </w:rPr>
      </w:pPr>
    </w:p>
    <w:p>
      <w:pPr>
        <w:ind w:left="40" w:right="459"/>
        <w:spacing w:after="0" w:line="271" w:lineRule="auto"/>
        <w:rPr>
          <w:sz w:val="20"/>
          <w:szCs w:val="20"/>
          <w:color w:val="auto"/>
        </w:rPr>
      </w:pPr>
      <w:r>
        <w:rPr>
          <w:rFonts w:ascii="Arial" w:cs="Arial" w:eastAsia="Arial" w:hAnsi="Arial"/>
          <w:sz w:val="17"/>
          <w:szCs w:val="17"/>
          <w:color w:val="auto"/>
        </w:rPr>
        <w:t>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Amendment 5 to loan agreement</w:t>
      </w:r>
    </w:p>
    <w:p>
      <w:pPr>
        <w:spacing w:after="0" w:line="225" w:lineRule="exact"/>
        <w:rPr>
          <w:sz w:val="20"/>
          <w:szCs w:val="20"/>
          <w:color w:val="auto"/>
        </w:rPr>
      </w:pPr>
    </w:p>
    <w:p>
      <w:pPr>
        <w:ind w:left="40" w:right="179" w:firstLine="648"/>
        <w:spacing w:after="0" w:line="272" w:lineRule="auto"/>
        <w:rPr>
          <w:sz w:val="20"/>
          <w:szCs w:val="20"/>
          <w:color w:val="auto"/>
        </w:rPr>
      </w:pPr>
      <w:r>
        <w:rPr>
          <w:rFonts w:ascii="Arial" w:cs="Arial" w:eastAsia="Arial" w:hAnsi="Arial"/>
          <w:sz w:val="17"/>
          <w:szCs w:val="17"/>
          <w:color w:val="auto"/>
        </w:rPr>
        <w:t>In August 2018, the Company signed Amendment 5 to the Loan Agreement (Amendment 5). Amendment 5 instituted a 2018 End of Term Charge of $0.1 million. Additionally, the Term Loan Maturity Date extended until March 1, 2020. Amendment 5 additionally, changed the due date of the End of Term Charge to, the earlier of (i) the Term Loan Maturity Date, (ii) the date that Borrower prepays the outstanding Secured Obligations or (iii) the date that the Secured Obligations become due and payable. The Company incurred a cost of $0.05 million in relation to the execution of Amendment 5. In connection with the extension of the due date of the Loan, the deferral of principal payments (Amendment 3) was further deferred until the new Term Loan Maturity Date.</w:t>
      </w:r>
    </w:p>
    <w:p>
      <w:pPr>
        <w:spacing w:after="0" w:line="177"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On March 2, 2020, the Company paid $0.1 million in end of term fees related to Amendment 5 of the Loan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Amendment 6 to loan agreement</w:t>
      </w:r>
    </w:p>
    <w:p>
      <w:pPr>
        <w:spacing w:after="0" w:line="225" w:lineRule="exact"/>
        <w:rPr>
          <w:sz w:val="20"/>
          <w:szCs w:val="20"/>
          <w:color w:val="auto"/>
        </w:rPr>
      </w:pPr>
    </w:p>
    <w:p>
      <w:pPr>
        <w:ind w:left="40" w:right="299" w:firstLine="648"/>
        <w:spacing w:after="0" w:line="263" w:lineRule="auto"/>
        <w:rPr>
          <w:sz w:val="20"/>
          <w:szCs w:val="20"/>
          <w:color w:val="auto"/>
        </w:rPr>
      </w:pPr>
      <w:r>
        <w:rPr>
          <w:rFonts w:ascii="Arial" w:cs="Arial" w:eastAsia="Arial" w:hAnsi="Arial"/>
          <w:sz w:val="18"/>
          <w:szCs w:val="18"/>
          <w:color w:val="auto"/>
        </w:rPr>
        <w:t>In October 2018, the Company signed Amendment 6 to the Loan Agreement, which amended the Loan Agreement’s collateral clause to exclude the $1 million certificate of deposit associated with the lease on the Company’s new headquarters in Billerica, MA.</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Amendment 7 to loan agreement</w:t>
      </w:r>
    </w:p>
    <w:p>
      <w:pPr>
        <w:spacing w:after="0" w:line="225" w:lineRule="exact"/>
        <w:rPr>
          <w:sz w:val="20"/>
          <w:szCs w:val="20"/>
          <w:color w:val="auto"/>
        </w:rPr>
      </w:pPr>
    </w:p>
    <w:p>
      <w:pPr>
        <w:ind w:left="40" w:right="159" w:firstLine="648"/>
        <w:spacing w:after="0" w:line="293" w:lineRule="auto"/>
        <w:rPr>
          <w:sz w:val="20"/>
          <w:szCs w:val="20"/>
          <w:color w:val="auto"/>
        </w:rPr>
      </w:pPr>
      <w:r>
        <w:rPr>
          <w:rFonts w:ascii="Arial" w:cs="Arial" w:eastAsia="Arial" w:hAnsi="Arial"/>
          <w:sz w:val="16"/>
          <w:szCs w:val="16"/>
          <w:color w:val="auto"/>
        </w:rPr>
        <w:t>On April 15, 2019, the Company signed Amendment 7 to the Loan Agreement, which extends the interest only payment period through July 1, 2021 and also extends the maturity date until October 1, 2021. As part of this Amendment 7, a “2019 End of Term Charge” for $50,000 was added to the Loan Agreement due on the earliest to occur of (i) the Term Loan Maturity Date, (ii) the date that the Company prepays the outstanding Secured Obligations and (iii) the date that the Secured Obligations become due and payable. In addition, the Company is required to pay the loan principal in five equal installments starting July 1, 2021 with the final principal payment to be made on October 1, 2021.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As of March 31, 2020, the remaining loan balance is classified as a long term liability since all principal payments are due greater than twelve months after the balance sheet date.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March 31, 2020, debt payment obligations due based on principal payments are as follows (in thousands):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09"/>
        </w:trPr>
        <w:tc>
          <w:tcPr>
            <w:tcW w:w="6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r>
    </w:tbl>
    <w:p>
      <w:pPr>
        <w:spacing w:after="0" w:line="202" w:lineRule="exact"/>
        <w:rPr>
          <w:sz w:val="20"/>
          <w:szCs w:val="20"/>
          <w:color w:val="auto"/>
        </w:rPr>
      </w:pPr>
    </w:p>
    <w:p>
      <w:pPr>
        <w:ind w:left="40" w:right="99" w:firstLine="648"/>
        <w:spacing w:after="0" w:line="223"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interest expense related to debt discount amortization and accretion of end of term fees was $0.1 million or less for each of the three months ended March 31, 2020 and 2019.</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02"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The Company has entered into certain licenses with other companies for use of Uman’s technology. These licenses have royalty components which the Company earns and recognizes royalty revenue from throughout the year. The Company recognized revenue of $0.1 million for the three months ended March 31, 2020, as collaboration and license revenue. The Company did not earn and recognize any royalty revenue from license agreements prior to the Company’s acquisition of Uman.</w:t>
      </w:r>
    </w:p>
    <w:p>
      <w:pPr>
        <w:spacing w:after="0" w:line="188"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As of December 31, 2019 the Company had $1.7 million of deferred revenue related to ongoing negotiations with a diagnostics company.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left="40" w:right="459" w:firstLine="648"/>
        <w:spacing w:after="0" w:line="263" w:lineRule="auto"/>
        <w:rPr>
          <w:sz w:val="20"/>
          <w:szCs w:val="20"/>
          <w:color w:val="auto"/>
        </w:rPr>
      </w:pPr>
      <w:r>
        <w:rPr>
          <w:rFonts w:ascii="Arial" w:cs="Arial" w:eastAsia="Arial" w:hAnsi="Arial"/>
          <w:sz w:val="18"/>
          <w:szCs w:val="18"/>
          <w:color w:val="auto"/>
        </w:rPr>
        <w:t>The Company sponsors a 401(k) savings plan for its employees. The Company may make discretionary contributions for each 401(k) plan year. During the three months ended March 31, 2020 and 2019, the Company made contributions of $0.1 million and $0.1 million, respectively.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Business Combinations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UmanDiagnostics AB</w:t>
      </w:r>
    </w:p>
    <w:p>
      <w:pPr>
        <w:spacing w:after="0" w:line="185"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w:t>
      </w:r>
    </w:p>
    <w:p>
      <w:pPr>
        <w:spacing w:after="0" w:line="134"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spacing w:after="0" w:line="147" w:lineRule="exact"/>
        <w:rPr>
          <w:sz w:val="20"/>
          <w:szCs w:val="20"/>
          <w:color w:val="auto"/>
        </w:rPr>
      </w:pPr>
    </w:p>
    <w:p>
      <w:pPr>
        <w:jc w:val="both"/>
        <w:ind w:left="40" w:right="99" w:firstLine="648"/>
        <w:spacing w:after="0" w:line="263" w:lineRule="auto"/>
        <w:rPr>
          <w:sz w:val="20"/>
          <w:szCs w:val="20"/>
          <w:color w:val="auto"/>
        </w:rPr>
      </w:pPr>
      <w:r>
        <w:rPr>
          <w:rFonts w:ascii="Arial" w:cs="Arial" w:eastAsia="Arial" w:hAnsi="Arial"/>
          <w:sz w:val="18"/>
          <w:szCs w:val="18"/>
          <w:color w:val="auto"/>
        </w:rPr>
        <w:t>The Company has accounted for the acquisition of Uman as a purchase of a business under U.S. GAAP. Under the acquisition method of accounting, the assets and liabilities of Uman are recorded as of the acquisition date of July 1, 2019, at their respective fair values, and consolidated with those of the Company.</w:t>
      </w:r>
    </w:p>
    <w:p>
      <w:pPr>
        <w:spacing w:after="0" w:line="184"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7"/>
          <w:szCs w:val="17"/>
          <w:color w:val="auto"/>
        </w:rPr>
        <w:t>The Company has preliminarily allocated the purchase price to the net tangible and intangible assets based on their estimated fair values as of July 1, 2019. As such, the fair value of the assets acquired and liabilities assumed, including intangible assets, presented in the table below are provisional and will be finalized in a later period once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fair value procedures are completed. Goodwill established as a result of the Uman acquisition is not tax deductible in any taxing jurisdiction.</w:t>
      </w:r>
    </w:p>
    <w:p>
      <w:pPr>
        <w:spacing w:after="0" w:line="170"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net of $1.2 million in cash and cash equivalents acquired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Cash and stock paid</w:t>
            </w:r>
          </w:p>
        </w:tc>
        <w:tc>
          <w:tcPr>
            <w:tcW w:w="25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acquired</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Purchase price, net</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Assets (liabilities) acquired:</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50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Prepaids and other current assets</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Accrued expense and other current liabilities</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0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79" w:firstLine="648"/>
        <w:spacing w:after="0" w:line="342" w:lineRule="auto"/>
        <w:rPr>
          <w:sz w:val="20"/>
          <w:szCs w:val="20"/>
          <w:color w:val="auto"/>
        </w:rPr>
      </w:pPr>
      <w:r>
        <w:rPr>
          <w:rFonts w:ascii="Arial" w:cs="Arial" w:eastAsia="Arial" w:hAnsi="Arial"/>
          <w:sz w:val="16"/>
          <w:szCs w:val="16"/>
          <w:color w:val="auto"/>
        </w:rPr>
        <w:t>Revenue and net loss related to Uman’s operations was $0.4 million and less than $0.1 million, respectively, for the three months ended March 31, 2020, and is included in the Company’s consolidated statements of operations.</w:t>
      </w:r>
    </w:p>
    <w:p>
      <w:pPr>
        <w:spacing w:after="0" w:line="124"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The following unaudited pro forma information presents the condensed consolidated results of operations of the Company and Uman for the three months ended March 31, 2019 as if the acquisition of Uman had been completed on January 1, 2018.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spacing w:after="0" w:line="178"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r>
      <w:tr>
        <w:trPr>
          <w:trHeight w:val="201"/>
        </w:trPr>
        <w:tc>
          <w:tcPr>
            <w:tcW w:w="3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(unaudited)</w:t>
            </w:r>
          </w:p>
        </w:tc>
        <w:tc>
          <w:tcPr>
            <w:tcW w:w="20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80" w:type="dxa"/>
            <w:vAlign w:val="bottom"/>
            <w:tcBorders>
              <w:top w:val="single" w:sz="8" w:color="CCEEFF"/>
            </w:tcBorders>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Pre-tax loss (unaudited)</w:t>
            </w:r>
          </w:p>
        </w:tc>
        <w:tc>
          <w:tcPr>
            <w:tcW w:w="24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(9,062)</w:t>
            </w:r>
          </w:p>
        </w:tc>
        <w:tc>
          <w:tcPr>
            <w:tcW w:w="280" w:type="dxa"/>
            <w:vAlign w:val="bottom"/>
          </w:tcPr>
          <w:p>
            <w:pPr>
              <w:spacing w:after="0"/>
              <w:rPr>
                <w:sz w:val="20"/>
                <w:szCs w:val="20"/>
                <w:color w:val="auto"/>
              </w:rPr>
            </w:pPr>
          </w:p>
        </w:tc>
      </w:tr>
    </w:tbl>
    <w:p>
      <w:pPr>
        <w:spacing w:after="0" w:line="187"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Company recorded no costs associated with the acquisition of Uman for the three months ended March 31, 2020 and 2019, respectively. For the year ended December 31, 2019, the Company incurred $1.9 million in costs associated with the acquisition of Uman. Costs associated with the acquisition of Uman are recorded as selling, general, and administrative expenses within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Goodwill and Acquired Intangible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2020, the carrying amount of goodwill was $8.9 million. The following is a rollforward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goodwill balance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Cumulative translation adjustment</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2020</w:t>
            </w: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020" w:type="dxa"/>
            <w:vAlign w:val="bottom"/>
            <w:gridSpan w:val="12"/>
          </w:tcPr>
          <w:p>
            <w:pPr>
              <w:ind w:left="660"/>
              <w:spacing w:after="0"/>
              <w:rPr>
                <w:sz w:val="20"/>
                <w:szCs w:val="20"/>
                <w:color w:val="auto"/>
              </w:rPr>
            </w:pPr>
            <w:r>
              <w:rPr>
                <w:rFonts w:ascii="Arial" w:cs="Arial" w:eastAsia="Arial" w:hAnsi="Arial"/>
                <w:sz w:val="18"/>
                <w:szCs w:val="18"/>
                <w:color w:val="auto"/>
                <w:w w:val="91"/>
              </w:rPr>
              <w:t>Acquired intangible assets as of March 31, 2020 consist of the following (in thousands):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Cumulative</w:t>
            </w:r>
          </w:p>
        </w:tc>
        <w:tc>
          <w:tcPr>
            <w:tcW w:w="120" w:type="dxa"/>
            <w:vAlign w:val="bottom"/>
          </w:tcPr>
          <w:p>
            <w:pPr>
              <w:spacing w:after="0"/>
              <w:rPr>
                <w:sz w:val="10"/>
                <w:szCs w:val="10"/>
                <w:color w:val="auto"/>
              </w:rPr>
            </w:pPr>
          </w:p>
        </w:tc>
        <w:tc>
          <w:tcPr>
            <w:tcW w:w="720" w:type="dxa"/>
            <w:vAlign w:val="bottom"/>
            <w:gridSpan w:val="2"/>
          </w:tcPr>
          <w:p>
            <w:pPr>
              <w:jc w:val="center"/>
              <w:ind w:right="27"/>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9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720" w:type="dxa"/>
            <w:vAlign w:val="bottom"/>
            <w:gridSpan w:val="2"/>
          </w:tcPr>
          <w:p>
            <w:pPr>
              <w:jc w:val="center"/>
              <w:ind w:right="47"/>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980" w:type="dxa"/>
            <w:vAlign w:val="bottom"/>
            <w:vMerge w:val="restart"/>
          </w:tcPr>
          <w:p>
            <w:pPr>
              <w:spacing w:after="0"/>
              <w:rPr>
                <w:sz w:val="20"/>
                <w:szCs w:val="20"/>
                <w:color w:val="auto"/>
              </w:rPr>
            </w:pPr>
            <w:r>
              <w:rPr>
                <w:rFonts w:ascii="Arial" w:cs="Arial" w:eastAsia="Arial" w:hAnsi="Arial"/>
                <w:sz w:val="18"/>
                <w:szCs w:val="18"/>
                <w:color w:val="auto"/>
              </w:rPr>
              <w:t>Know-how</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4"/>
                <w:szCs w:val="14"/>
                <w:color w:val="auto"/>
              </w:rPr>
            </w:pPr>
          </w:p>
        </w:tc>
        <w:tc>
          <w:tcPr>
            <w:tcW w:w="720" w:type="dxa"/>
            <w:vAlign w:val="bottom"/>
            <w:gridSpan w:val="2"/>
          </w:tcPr>
          <w:p>
            <w:pPr>
              <w:jc w:val="center"/>
              <w:ind w:right="7"/>
              <w:spacing w:after="0"/>
              <w:rPr>
                <w:sz w:val="20"/>
                <w:szCs w:val="20"/>
                <w:color w:val="auto"/>
              </w:rPr>
            </w:pPr>
            <w:r>
              <w:rPr>
                <w:rFonts w:ascii="Arial" w:cs="Arial" w:eastAsia="Arial" w:hAnsi="Arial"/>
                <w:sz w:val="14"/>
                <w:szCs w:val="14"/>
                <w:b w:val="1"/>
                <w:bCs w:val="1"/>
                <w:color w:val="auto"/>
                <w:w w:val="96"/>
              </w:rPr>
              <w:t>Value</w:t>
            </w:r>
          </w:p>
        </w:tc>
        <w:tc>
          <w:tcPr>
            <w:tcW w:w="112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3"/>
              </w:rPr>
              <w:t>Life Remaining</w:t>
            </w:r>
          </w:p>
        </w:tc>
        <w:tc>
          <w:tcPr>
            <w:tcW w:w="0" w:type="dxa"/>
            <w:vAlign w:val="bottom"/>
          </w:tcPr>
          <w:p>
            <w:pPr>
              <w:spacing w:after="0"/>
              <w:rPr>
                <w:sz w:val="1"/>
                <w:szCs w:val="1"/>
                <w:color w:val="auto"/>
              </w:rPr>
            </w:pPr>
          </w:p>
        </w:tc>
      </w:tr>
      <w:tr>
        <w:trPr>
          <w:trHeight w:val="209"/>
        </w:trPr>
        <w:tc>
          <w:tcPr>
            <w:tcW w:w="2980" w:type="dxa"/>
            <w:vAlign w:val="bottom"/>
            <w:vMerge w:val="continue"/>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11,113</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8.5 - 10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Trade names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Acquired intangible assets as of December 31, 2019 consist of the following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2019</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Cumulative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8"/>
                <w:szCs w:val="18"/>
                <w:color w:val="auto"/>
              </w:rPr>
              <w:t>Know-how</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5"/>
              </w:rPr>
              <w:t>Life Remaining</w:t>
            </w:r>
          </w:p>
        </w:tc>
        <w:tc>
          <w:tcPr>
            <w:tcW w:w="0" w:type="dxa"/>
            <w:vAlign w:val="bottom"/>
          </w:tcPr>
          <w:p>
            <w:pPr>
              <w:spacing w:after="0"/>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12,134</w:t>
            </w: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Trade names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20" w:firstLine="648"/>
        <w:spacing w:after="0" w:line="255" w:lineRule="auto"/>
        <w:rPr>
          <w:sz w:val="20"/>
          <w:szCs w:val="20"/>
          <w:color w:val="auto"/>
        </w:rPr>
      </w:pPr>
      <w:r>
        <w:rPr>
          <w:rFonts w:ascii="Arial" w:cs="Arial" w:eastAsia="Arial" w:hAnsi="Arial"/>
          <w:sz w:val="18"/>
          <w:szCs w:val="18"/>
          <w:color w:val="auto"/>
        </w:rPr>
        <w:t>The Company acquired $13.5 million of intangible assets in the Uman acquisition, of which $13.0 million was assigned to know-how, $0.4 million was assigned to non-compete agreements, and $0.1 million was assigned to customer relationships. The know-how and customer relationships intangible assets are being amortized on a straight-line basis over an 8.5 year amortization period, and the non-compete agreement intangible asset is being amortized on a straight-line basis over a 5.5 year amortization period. In total, the weighted-average amortization period for these intangible assets is 8.4 years.</w:t>
      </w:r>
    </w:p>
    <w:p>
      <w:pPr>
        <w:spacing w:after="0" w:line="165" w:lineRule="exact"/>
        <w:rPr>
          <w:sz w:val="20"/>
          <w:szCs w:val="20"/>
          <w:color w:val="auto"/>
        </w:rPr>
      </w:pPr>
    </w:p>
    <w:p>
      <w:pPr>
        <w:ind w:left="40" w:right="200" w:firstLine="648"/>
        <w:spacing w:after="0" w:line="259" w:lineRule="auto"/>
        <w:rPr>
          <w:sz w:val="20"/>
          <w:szCs w:val="20"/>
          <w:color w:val="auto"/>
        </w:rPr>
      </w:pPr>
      <w:r>
        <w:rPr>
          <w:rFonts w:ascii="Arial" w:cs="Arial" w:eastAsia="Arial" w:hAnsi="Arial"/>
          <w:sz w:val="18"/>
          <w:szCs w:val="18"/>
          <w:color w:val="auto"/>
        </w:rPr>
        <w:t>The Company is currently evaluating the fair value of assets acquired and liabilities assumed from the Uman acquisition, including intangible assets and their related amortization periods. As such, the $13.5 million in intangible assets presented in the table above are provisional and will be finalized in a later period once the fair value procedures are completed.</w:t>
      </w:r>
    </w:p>
    <w:p>
      <w:pPr>
        <w:spacing w:after="0" w:line="146" w:lineRule="exact"/>
        <w:rPr>
          <w:sz w:val="20"/>
          <w:szCs w:val="20"/>
          <w:color w:val="auto"/>
        </w:rPr>
      </w:pPr>
    </w:p>
    <w:p>
      <w:pPr>
        <w:ind w:left="40" w:right="100" w:firstLine="648"/>
        <w:spacing w:after="0" w:line="255" w:lineRule="auto"/>
        <w:rPr>
          <w:sz w:val="20"/>
          <w:szCs w:val="20"/>
          <w:color w:val="auto"/>
        </w:rPr>
      </w:pPr>
      <w:r>
        <w:rPr>
          <w:rFonts w:ascii="Arial" w:cs="Arial" w:eastAsia="Arial" w:hAnsi="Arial"/>
          <w:sz w:val="18"/>
          <w:szCs w:val="18"/>
          <w:color w:val="auto"/>
        </w:rPr>
        <w:t>The Company recorded amortization expense of $0.5 million and $0.2 million for the three months ended March 31, 2020 and 2019,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goods sold.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7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March 31, 2020 is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Pr>
          <w:p>
            <w:pPr>
              <w:spacing w:after="0"/>
              <w:rPr>
                <w:sz w:val="14"/>
                <w:szCs w:val="14"/>
                <w:color w:val="auto"/>
              </w:rPr>
            </w:pPr>
          </w:p>
        </w:tc>
        <w:tc>
          <w:tcPr>
            <w:tcW w:w="224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09"/>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r>
      <w:tr>
        <w:trPr>
          <w:trHeight w:val="210"/>
        </w:trPr>
        <w:tc>
          <w:tcPr>
            <w:tcW w:w="6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months ended March 31, 2020 and 2019, the Company recorded royalty expense of $0.2 million and $0.2 million, respectively, in cost of product revenue on the consolidated statements of operations.</w:t>
      </w:r>
    </w:p>
    <w:p>
      <w:pPr>
        <w:spacing w:after="0" w:line="188" w:lineRule="exact"/>
        <w:rPr>
          <w:sz w:val="20"/>
          <w:szCs w:val="20"/>
          <w:color w:val="auto"/>
        </w:rPr>
      </w:pPr>
    </w:p>
    <w:p>
      <w:pPr>
        <w:jc w:val="both"/>
        <w:ind w:left="40" w:right="279" w:firstLine="648"/>
        <w:spacing w:after="0" w:line="286"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were less than $0.1 million for each of the three months ended March 31, 2020 and 2019,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89"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The following shows the changes in the components of accumulated other comprehensive loss for the three months ended March 31, 2020 which consisted of only foreign currency translation adjustments for the periods shown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Cumulative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20"/>
              <w:spacing w:after="0"/>
              <w:rPr>
                <w:sz w:val="20"/>
                <w:szCs w:val="20"/>
                <w:color w:val="auto"/>
              </w:rPr>
            </w:pPr>
            <w:r>
              <w:rPr>
                <w:rFonts w:ascii="Arial" w:cs="Arial" w:eastAsia="Arial" w:hAnsi="Arial"/>
                <w:sz w:val="14"/>
                <w:szCs w:val="14"/>
                <w:b w:val="1"/>
                <w:bCs w:val="1"/>
                <w:color w:val="auto"/>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Translation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9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3"/>
              </w:rPr>
              <w:t>Adjustment</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Loss</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bl>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Subsequent events</w:t>
      </w:r>
    </w:p>
    <w:p>
      <w:pPr>
        <w:spacing w:after="0" w:line="202" w:lineRule="exact"/>
        <w:rPr>
          <w:sz w:val="20"/>
          <w:szCs w:val="20"/>
          <w:color w:val="auto"/>
        </w:rPr>
      </w:pPr>
    </w:p>
    <w:p>
      <w:pPr>
        <w:ind w:left="40" w:right="259" w:firstLine="648"/>
        <w:spacing w:after="0" w:line="277" w:lineRule="auto"/>
        <w:rPr>
          <w:sz w:val="20"/>
          <w:szCs w:val="20"/>
          <w:color w:val="auto"/>
        </w:rPr>
      </w:pPr>
      <w:r>
        <w:rPr>
          <w:rFonts w:ascii="Arial" w:cs="Arial" w:eastAsia="Arial" w:hAnsi="Arial"/>
          <w:sz w:val="18"/>
          <w:szCs w:val="18"/>
          <w:color w:val="auto"/>
        </w:rPr>
        <w:t>The Company had no significant subsequent events for the period March 31, 2020 through the filing date of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2019,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2019 or other filings that we make with the SEC.</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We are a life sciences company that has developed next generation, ultra</w:t>
      </w:r>
      <w:r>
        <w:rPr>
          <w:rFonts w:ascii="MS PGothic" w:cs="MS PGothic" w:eastAsia="MS PGothic" w:hAnsi="MS PGothic"/>
          <w:sz w:val="16"/>
          <w:szCs w:val="16"/>
          <w:color w:val="auto"/>
        </w:rPr>
        <w:t>‑</w:t>
      </w:r>
      <w:r>
        <w:rPr>
          <w:rFonts w:ascii="Arial" w:cs="Arial" w:eastAsia="Arial" w:hAnsi="Arial"/>
          <w:sz w:val="16"/>
          <w:szCs w:val="16"/>
          <w:color w:val="auto"/>
        </w:rPr>
        <w:t>sensitive digital immunoassay platforms that advance precision health for life sciences research and diagnostics. Our platforms are based on our proprietary digital “Simoa” detection technology. Our Simoa bead</w:t>
      </w:r>
      <w:r>
        <w:rPr>
          <w:rFonts w:ascii="MS PGothic" w:cs="MS PGothic" w:eastAsia="MS PGothic" w:hAnsi="MS PGothic"/>
          <w:sz w:val="16"/>
          <w:szCs w:val="16"/>
          <w:color w:val="auto"/>
        </w:rPr>
        <w:t>‑</w:t>
      </w:r>
      <w:r>
        <w:rPr>
          <w:rFonts w:ascii="Arial" w:cs="Arial" w:eastAsia="Arial" w:hAnsi="Arial"/>
          <w:sz w:val="16"/>
          <w:szCs w:val="16"/>
          <w:color w:val="auto"/>
        </w:rPr>
        <w:t>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203"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China, Czech Republic, India, Israel, Japan, Lebanon, Mexico, Qatar, Saudi Arabia, Singapore, South Korea and Taiwan.</w:t>
      </w:r>
    </w:p>
    <w:p>
      <w:pPr>
        <w:spacing w:after="0" w:line="188"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ahead of our original fourth quarter expectation. As the installed base of the Simoa instruments increases, total consumables revenue overall is expected to increase. We believe that consumables revenue should be subject to less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color w:val="auto"/>
        </w:rPr>
        <w:t>period-to-period fluctuation than our instrument sales revenue, and will become an increasingly important contributor to our overall revenue.</w:t>
      </w:r>
    </w:p>
    <w:p>
      <w:pPr>
        <w:spacing w:after="0" w:line="170"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On January 30, 2018, we acquired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64"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On August 1, 2019, we completed our acquisition of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78"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are subject to ongoing uncertainty concerning the COVID-19 pandemic, including its length and severity and its effect on our business. During the quarter, we implemented a resiliency plan focused on the health and safety of our employees and maintaining continuity of our operations. We have seen an impact on instrument revenue due to limitations on our ability to access certain customer sites and complete instrument installations, as well as an impact on consumables revenue from interruptions in certain customer laboratories. We expect these COVID-19 related challenges to continue until these customers return to normal operations.</w:t>
      </w:r>
    </w:p>
    <w:p>
      <w:pPr>
        <w:spacing w:after="0" w:line="192"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In view of the pandemic, we have adjusted our operations to expand capacity in our Accelerator Laboratory to support customers whose operations have been disrupted and to sustain clinical trials. We also believe that our cytokine assay technology provides researchers with important and differentiated tools to study disease progression, cytokine release syndrome, and patient-treatment response in the fight against COVID-19. We are also working towards developing a SARS-COV-2 quantitative IgG assay, an antigen early detection assay in blood, and a high-definition SARS-COV-2 assay to enable research pursuits. We believe that these activities may provide additional business and revenue opportunities as the situation unfolds.</w:t>
      </w:r>
    </w:p>
    <w:p>
      <w:pPr>
        <w:spacing w:after="0" w:line="195" w:lineRule="exact"/>
        <w:rPr>
          <w:sz w:val="20"/>
          <w:szCs w:val="20"/>
          <w:color w:val="auto"/>
        </w:rPr>
      </w:pPr>
    </w:p>
    <w:p>
      <w:pPr>
        <w:ind w:left="40" w:right="359" w:firstLine="648"/>
        <w:spacing w:after="0" w:line="275" w:lineRule="auto"/>
        <w:rPr>
          <w:sz w:val="20"/>
          <w:szCs w:val="20"/>
          <w:color w:val="auto"/>
        </w:rPr>
      </w:pPr>
      <w:r>
        <w:rPr>
          <w:rFonts w:ascii="Arial" w:cs="Arial" w:eastAsia="Arial" w:hAnsi="Arial"/>
          <w:sz w:val="17"/>
          <w:szCs w:val="17"/>
          <w:color w:val="212529"/>
        </w:rPr>
        <w:t xml:space="preserve">The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Section </w:t>
      </w:r>
      <w:r>
        <w:rPr>
          <w:rFonts w:ascii="Arial" w:cs="Arial" w:eastAsia="Arial" w:hAnsi="Arial"/>
          <w:sz w:val="17"/>
          <w:szCs w:val="17"/>
          <w:color w:val="000000"/>
        </w:rPr>
        <w:t>1A, "Risk Factors" of our Annual</w:t>
      </w:r>
      <w:r>
        <w:rPr>
          <w:rFonts w:ascii="Arial" w:cs="Arial" w:eastAsia="Arial" w:hAnsi="Arial"/>
          <w:sz w:val="17"/>
          <w:szCs w:val="17"/>
          <w:color w:val="212529"/>
        </w:rPr>
        <w:t xml:space="preserve"> </w:t>
      </w:r>
      <w:r>
        <w:rPr>
          <w:rFonts w:ascii="Arial" w:cs="Arial" w:eastAsia="Arial" w:hAnsi="Arial"/>
          <w:sz w:val="17"/>
          <w:szCs w:val="17"/>
          <w:color w:val="000000"/>
        </w:rPr>
        <w:t xml:space="preserve">Report on Form 10-K for the year ended December 31, 2019. </w:t>
      </w:r>
      <w:r>
        <w:rPr>
          <w:rFonts w:ascii="Arial" w:cs="Arial" w:eastAsia="Arial" w:hAnsi="Arial"/>
          <w:sz w:val="17"/>
          <w:szCs w:val="17"/>
          <w:color w:val="212529"/>
        </w:rPr>
        <w:t>We will continue to evaluate the nature and extent of the</w:t>
      </w:r>
      <w:r>
        <w:rPr>
          <w:rFonts w:ascii="Arial" w:cs="Arial" w:eastAsia="Arial" w:hAnsi="Arial"/>
          <w:sz w:val="17"/>
          <w:szCs w:val="17"/>
          <w:color w:val="000000"/>
        </w:rPr>
        <w:t xml:space="preserve"> </w:t>
      </w:r>
      <w:r>
        <w:rPr>
          <w:rFonts w:ascii="Arial" w:cs="Arial" w:eastAsia="Arial" w:hAnsi="Arial"/>
          <w:sz w:val="17"/>
          <w:szCs w:val="17"/>
          <w:color w:val="212529"/>
        </w:rPr>
        <w:t>impact to our business, financial condition and operating results</w:t>
      </w:r>
      <w:r>
        <w:rPr>
          <w:rFonts w:ascii="Arial" w:cs="Arial" w:eastAsia="Arial" w:hAnsi="Arial"/>
          <w:sz w:val="17"/>
          <w:szCs w:val="17"/>
          <w:color w:val="000000"/>
        </w:rPr>
        <w:t>.</w:t>
      </w:r>
    </w:p>
    <w:p>
      <w:pPr>
        <w:spacing w:after="0" w:line="176" w:lineRule="exact"/>
        <w:rPr>
          <w:sz w:val="20"/>
          <w:szCs w:val="20"/>
          <w:color w:val="auto"/>
        </w:rPr>
      </w:pPr>
    </w:p>
    <w:p>
      <w:pPr>
        <w:ind w:left="40" w:right="199" w:firstLine="648"/>
        <w:spacing w:after="0" w:line="273" w:lineRule="auto"/>
        <w:rPr>
          <w:sz w:val="20"/>
          <w:szCs w:val="20"/>
          <w:color w:val="auto"/>
        </w:rPr>
      </w:pPr>
      <w:r>
        <w:rPr>
          <w:rFonts w:ascii="Arial" w:cs="Arial" w:eastAsia="Arial" w:hAnsi="Arial"/>
          <w:sz w:val="17"/>
          <w:szCs w:val="17"/>
          <w:color w:val="auto"/>
        </w:rPr>
        <w:t>As of March 31, 2020, we had cash and cash equivalents of $96.4 million. Since inception, we have incurred net losses. Our net loss was $40.8 million, $31.5 million, and $27.0 million for the years ended December 31, 2019, 2018 and 2017, respectively, and $11.6 million and $9.4 million for the three months ended March 31, 2020 and 2019, respectively. As of March 31, 2020, we had an accumulated deficit of $227.9 million and stockholders' equity of $119.0 million. We expect to continue to incur significant expenses and operating losses at least through the next 24 months. We expect our expenses will increase substantially as we:</w:t>
      </w:r>
    </w:p>
    <w:p>
      <w:pPr>
        <w:spacing w:after="0" w:line="56" w:lineRule="exact"/>
        <w:rPr>
          <w:sz w:val="20"/>
          <w:szCs w:val="20"/>
          <w:color w:val="auto"/>
        </w:rPr>
      </w:pPr>
    </w:p>
    <w:p>
      <w:pPr>
        <w:ind w:left="1340" w:hanging="648"/>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40" w:hanging="648"/>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40" w:right="139" w:hanging="648"/>
        <w:spacing w:after="0" w:line="302" w:lineRule="auto"/>
        <w:tabs>
          <w:tab w:leader="none" w:pos="1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340" w:right="299" w:hanging="648"/>
        <w:spacing w:after="0" w:line="255"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premarket approval, or PMA, or 510(k) clearance from the FDA for our existing products or new products if or when we decide to market products for use in the prevention, diagnosis or treatment of a disease or other condition;</w:t>
      </w:r>
    </w:p>
    <w:p>
      <w:pPr>
        <w:spacing w:after="0" w:line="2" w:lineRule="exact"/>
        <w:rPr>
          <w:rFonts w:ascii="Arial" w:cs="Arial" w:eastAsia="Arial" w:hAnsi="Arial"/>
          <w:sz w:val="18"/>
          <w:szCs w:val="18"/>
          <w:color w:val="auto"/>
        </w:rPr>
      </w:pPr>
    </w:p>
    <w:p>
      <w:pPr>
        <w:ind w:left="1340" w:hanging="648"/>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40" w:hanging="648"/>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40" w:hanging="648"/>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40" w:hanging="648"/>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March 31, 2019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7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of</w:t>
            </w:r>
          </w:p>
        </w:tc>
        <w:tc>
          <w:tcPr>
            <w:tcW w:w="68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286</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2,972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15,727</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6,186</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4,248</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1,938</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4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14,273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11,512</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125 %</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(11,728)</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(9,357)</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(2,205)</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Total revenue increased by $3.4 million, or 27%, to $15.7 million for the three months ended March 31, 2020 as compared to $12.3 million for the three months ended March 31, 2019. Product revenue consisted primarily of sales of instruments totaling $3.7 million and sales of consumables and other products of $6.1 million for the three months ended March 31, 2020. Product revenue consisted of sales of instruments totaling $3.4 million and sales of consumables and other products totaling $6.1 million for the three months ended March 31, 2019. The increase in product revenue of $0.3 million was primarily due to increased instruments sales in the three months ended March 31, 2020. Consumables revenue was flat year-over-year. Instrument revenue was impacted by limitations in our ability to access certain customer sites and complete instrument installations due to COVID-19, and consumables revenue was impacted by customers’ transition from HD-1 to HD-X and later from interruptions in certain customer’s laboratories due to COVID-19. The impact of COVID-19 on product revenue was offset in part by an increase in service and other revenue of $3.0 million due to increased services performed in our Accelerator Laboratory. We had $0.1 million in collaboration and license revenue in the three months ended March 31, 2020 related to licensing technology and intellectual property.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Cost of product revenue increased by $1.9 million, or 46%, to $6.2 million for the three months ended March 31, 2020 as compared to $4.2 million for the three months ended March 31, 2019. The increase was primarily due to an increase in sales of instruments, along with costs incurred from the amortization of the Uman acquisition-related inventory valuation adjustment and acquired intangibles. Cost of service revenue increased to $2.7 million for the three months ended March 31, 2020 from $2.1 million for the three months ended March 31, 2019. The increase was primarily due to higher utilization of the Accelerator Laboratory, plus increased personnel costs from the build out of our field service organization. Overall cost of goods sold as a percentage of revenue increased to 57% of total revenue for the three months ended March 31, 2020 as compared to 51% for the three months ended March 31, 2019, primarily as a result of the amortization of acquisition-related acquired intangibles, and inventory valuation adjustments.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Research and development expense increased by $0.4 million, or 11%, to $4.3 million for the three months ended March 31, 2020 as compared to $3.9 million for the three months ended March 31, 2019. The increase was primarily due to the increased headcount in research and development.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Selling, general and administrative expense increased by $2.8 million, or 24%, to $14.3 million for the three months ended March 31, 2020 as compared to $11.5 million for the three months ended March 31, 2019. The increase was primarily due to headcount additions in various departments as we build out our organization to support future growth, the lease for the new headquarters, and stock compensation expense.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 and Other Expense, Net</w:t>
      </w:r>
    </w:p>
    <w:p>
      <w:pPr>
        <w:spacing w:after="0" w:line="225"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Interest income and other expense, net increased by less than $0.1 million for the three months ended March 31, 2020 as compared to same period in 2019, primarily due to the interest income earned on cash equivalents, which increased due to the at-the-market and underwritten public offerings completed during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Income tax benefit was $0.1 million for the three months ended March 31, 2020 as compared to a provision of less than $0.1 million for the same period in 2019. The change is primarily due to certain state and international taxes in 2020.</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Equity Offerings</w:t>
      </w:r>
    </w:p>
    <w:p>
      <w:pPr>
        <w:spacing w:after="0" w:line="90"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187"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On March 19, 2019, we entered into a Sales Agreement for an “at the market offering” arrangement with Cowen, which allows us to issue and sell shares of common stock pursuant to a shelf registration statement for total gross sales proceeds of up to $50.0 million from time to time through Cowen, acting as our agent. During the 2019 fiscal year, we sold an aggregate of 2,186,163 shares of common stock pursuant to this agreement resulting in $49.7 million in gross proceeds and $48.0 million in net proceeds.</w:t>
      </w:r>
    </w:p>
    <w:p>
      <w:pPr>
        <w:spacing w:after="0" w:line="188"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On August 8, 2019, we entered into an underwriting agreement with J.P. Morgan Securities LLC and SVB Leerink LLC, as representatives of the several underwriters, relating to an underwritten public offering of 2,732,673 shares of common stock at a public offering price of $25.25 per share. We received $69.0 million in gross proceeds and $64.5 million in net proceeds.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Loan Facility with Hercules</w:t>
      </w:r>
    </w:p>
    <w:p>
      <w:pPr>
        <w:spacing w:after="0" w:line="104"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70" w:lineRule="exact"/>
        <w:rPr>
          <w:sz w:val="20"/>
          <w:szCs w:val="20"/>
          <w:color w:val="auto"/>
        </w:rPr>
      </w:pPr>
    </w:p>
    <w:p>
      <w:pPr>
        <w:ind w:left="40" w:right="399" w:firstLine="648"/>
        <w:spacing w:after="0" w:line="259"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52"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In January 2016, we executed Amendment 2 to the Loan Agreement, which increased the total facility available by $5.0 million to a total of $15.0 million and further delayed the start of principal payments to July 1, 2016. Following the Series D Preferred Stock financing in March 2016, we could have elected to further delay the start of principal payments until January 1, 2017, however we voluntarily began paying principal on July 1, 2016. Upon signing this amendment, we drew an additional $3.0 million under the debt facility. The remaining $2.0 million available for borrowing expired unused in 2016, decreasing the amounts available under the debt facility to $13.0 million.</w:t>
      </w: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March 2017, we signed Amendment 3 to the Loan Agreement increasing the total facility available by</w:t>
      </w:r>
    </w:p>
    <w:p>
      <w:pPr>
        <w:spacing w:after="0" w:line="23"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$5.0 million to a total of $18.0 million. We did not draw any of this additional amount, which was available for us to draw until February 28, 2018. Additionally, we did not request an optional term loan for an incremental $5.0 million which was available for us to request until September 3, 2018. Principal payments were delayed to September 1, 2018 and the loan maturity date was extended to March 1, 2019. We voluntarily made principal payments in the months of March, April, and May 2018. No principal payments were made in June, July or August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51"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In July 2017, we signed Amendment 4 to the Loan Agreement, which capped the "Term Loan Interest Rate" with respect to the 2017 Term Loan Advance only at 10%. Amendment 4 to the Loan Agreement did not change or affect any other element of the Loan Agreement or the Term Loan Advance.</w:t>
      </w:r>
    </w:p>
    <w:p>
      <w:pPr>
        <w:spacing w:after="0" w:line="4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In August 2018, we signed Amendment 5 to the Loan Agreement, which extends the interest only payment period through March 1, 2020 and also extends the loan maturity date to March 1, 2020. We accounted for the August 2018 amendment as a modification pursuant to ASC 470-50 and determined that no material change occurred as a result of the modification. In addition, the amendment deferred the payment of principal until the maturity date. $0.1 million of end of term payments were paid in March 2020.</w:t>
      </w:r>
    </w:p>
    <w:p>
      <w:pPr>
        <w:spacing w:after="0" w:line="66"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In October 2018, we signed Amendment 6 to the Loan Agreement, which amends the Loan Agreement's collateral clause to exclude the $1 million certificate of deposit associated with the lease on our new headquarters in Billerica, Massachusetts. The Loan Agreement and amendments contain end of term payments and are recorded in the debt accounts. $0.5 million of end of term payments were paid in the year ended December 31, 2018.</w:t>
      </w:r>
    </w:p>
    <w:p>
      <w:pPr>
        <w:spacing w:after="0" w:line="50" w:lineRule="exact"/>
        <w:rPr>
          <w:sz w:val="20"/>
          <w:szCs w:val="20"/>
          <w:color w:val="auto"/>
        </w:rPr>
      </w:pPr>
    </w:p>
    <w:p>
      <w:pPr>
        <w:ind w:left="40" w:right="119" w:firstLine="648"/>
        <w:spacing w:after="0" w:line="311" w:lineRule="auto"/>
        <w:rPr>
          <w:sz w:val="20"/>
          <w:szCs w:val="20"/>
          <w:color w:val="auto"/>
        </w:rPr>
      </w:pPr>
      <w:r>
        <w:rPr>
          <w:rFonts w:ascii="Arial" w:cs="Arial" w:eastAsia="Arial" w:hAnsi="Arial"/>
          <w:sz w:val="16"/>
          <w:szCs w:val="16"/>
          <w:color w:val="auto"/>
        </w:rPr>
        <w:t>On April 15, 2019, we signed Amendment No. 7 to the Loan Agreement, which extends the interest only payment period through July 1, 2021 and also extends the loan maturity date to October 1, 2021. We are required to pay the loan principal in five equal installments starting July 1, 2021 with the final principal payment to be made on October 1, 2021.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9" w:firstLine="648"/>
        <w:spacing w:after="0" w:line="308" w:lineRule="auto"/>
        <w:rPr>
          <w:sz w:val="20"/>
          <w:szCs w:val="20"/>
          <w:color w:val="auto"/>
        </w:rPr>
      </w:pPr>
      <w:r>
        <w:rPr>
          <w:rFonts w:ascii="Arial" w:cs="Arial" w:eastAsia="Arial" w:hAnsi="Arial"/>
          <w:sz w:val="17"/>
          <w:szCs w:val="17"/>
          <w:color w:val="auto"/>
        </w:rPr>
        <w:t>On July 2, 2019, 66,041 warrants were exercised by Hercules on a net, non-cash, basis. Per the terms of the warrant agreement, we issued 45,690 shares of common stock with a value equal to Hercules’ gain.</w:t>
      </w:r>
    </w:p>
    <w:p>
      <w:pPr>
        <w:spacing w:after="0" w:line="146"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Debt principal repayments, including the end of term fees, due as of March 31, 2020 are (in thousands):</w:t>
      </w:r>
    </w:p>
    <w:p>
      <w:pPr>
        <w:spacing w:after="0" w:line="10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r>
        <w:trPr>
          <w:trHeight w:val="209"/>
        </w:trPr>
        <w:tc>
          <w:tcPr>
            <w:tcW w:w="6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Uman Acquisition</w:t>
      </w:r>
    </w:p>
    <w:p>
      <w:pPr>
        <w:spacing w:after="0" w:line="225"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8"/>
          <w:szCs w:val="18"/>
          <w:color w:val="auto"/>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w:t>
      </w:r>
    </w:p>
    <w:p>
      <w:pPr>
        <w:ind w:left="6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(13,179)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(5,917)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(12,744)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(10,438)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Net cash used in operating activities was $13.2 million during the three months ended March 31, 2020. The net cash used in operating activities primarily consisted of the net loss of $11.6 million offset by non-cash charges of $2.1 million of stock-based compensation expense and $1.0 million of depreciation and amortization expense. Cash used as a result of changes in operating assets and liabilities of $5.3 million was primarily due to an increase in accounts receivable of $1.2 million, an increase in inventory of $1.4 million, an increase in accounts payable of $1.1 million, and an increase in accrued compensation and benefits, other accrued expenses and other current liabilities of $1.7 million.</w:t>
      </w:r>
    </w:p>
    <w:p>
      <w:pPr>
        <w:spacing w:after="0" w:line="164" w:lineRule="exact"/>
        <w:rPr>
          <w:sz w:val="20"/>
          <w:szCs w:val="20"/>
          <w:color w:val="auto"/>
        </w:rPr>
      </w:pPr>
    </w:p>
    <w:p>
      <w:pPr>
        <w:ind w:left="40" w:right="99" w:firstLine="648"/>
        <w:spacing w:after="0" w:line="342" w:lineRule="auto"/>
        <w:rPr>
          <w:sz w:val="20"/>
          <w:szCs w:val="20"/>
          <w:color w:val="auto"/>
        </w:rPr>
      </w:pPr>
      <w:r>
        <w:rPr>
          <w:rFonts w:ascii="Arial" w:cs="Arial" w:eastAsia="Arial" w:hAnsi="Arial"/>
          <w:sz w:val="16"/>
          <w:szCs w:val="16"/>
          <w:color w:val="auto"/>
        </w:rPr>
        <w:t>Net cash used in operating activities was $5.4 million during the three months ended March 31, 2019. The net loss of $9.4 million includes non-cash charges of $1.3 million of stock-based compensation expense and $0.4 million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depreciation and amortization. Cash used as a result of changes in operating assets and liabilities of $2.3 million was primarily due to an increase in inventory of $1.8 million, a decrease in accounts payable of $1.3 million and a decrease in accrued compensation and benefits, other accrued expenses and other current liabilities of $0.3 million and an increase in accounts receivable of $0.5 million. In addition, $6.1 million increase due to changes in other noncurrent liabilities primarily related to our new lease.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left="4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40" w:right="699" w:firstLine="648"/>
        <w:spacing w:after="0" w:line="277" w:lineRule="auto"/>
        <w:rPr>
          <w:sz w:val="20"/>
          <w:szCs w:val="20"/>
          <w:color w:val="auto"/>
        </w:rPr>
      </w:pPr>
      <w:r>
        <w:rPr>
          <w:rFonts w:ascii="Arial" w:cs="Arial" w:eastAsia="Arial" w:hAnsi="Arial"/>
          <w:sz w:val="18"/>
          <w:szCs w:val="18"/>
          <w:color w:val="auto"/>
        </w:rPr>
        <w:t>We used $0.4 million of cash in investing activities during the three months ended March 31, 2020 for the purchase of property and equipment.</w:t>
      </w:r>
    </w:p>
    <w:p>
      <w:pPr>
        <w:spacing w:after="0" w:line="170"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color w:val="auto"/>
        </w:rPr>
        <w:t>We used $5.9 million of cash in investing activities during the three months ended March 31, 2019 consisting of cash paid in for purchases of capital equipment to support our infrastructure. The significant increase was related to the leasehold improvements for our new headquarters, which is a component of our lease agreement.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84" w:lineRule="exact"/>
        <w:rPr>
          <w:sz w:val="20"/>
          <w:szCs w:val="20"/>
          <w:color w:val="auto"/>
        </w:rPr>
      </w:pPr>
    </w:p>
    <w:p>
      <w:pPr>
        <w:jc w:val="both"/>
        <w:ind w:left="40" w:right="139" w:firstLine="648"/>
        <w:spacing w:after="0" w:line="263" w:lineRule="auto"/>
        <w:rPr>
          <w:sz w:val="20"/>
          <w:szCs w:val="20"/>
          <w:color w:val="auto"/>
        </w:rPr>
      </w:pPr>
      <w:r>
        <w:rPr>
          <w:rFonts w:ascii="Arial" w:cs="Arial" w:eastAsia="Arial" w:hAnsi="Arial"/>
          <w:sz w:val="18"/>
          <w:szCs w:val="18"/>
          <w:color w:val="auto"/>
        </w:rPr>
        <w:t>Financing activities provided $0.9 million of cash during the three months ended March 31, 2020, primarily from $0.5 million in proceeds from stock options exercised and $0.4 million in proceeds from stock purchases through our 2017 ESPP.</w:t>
      </w:r>
    </w:p>
    <w:p>
      <w:pPr>
        <w:spacing w:after="0" w:line="184"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Financing activities provided $0.8 million of cash during the three months ended March 31, 2019, which was primarily from proceeds of common stock option exercises of $0.5 million and stock purchases through our 2017 ESPP of $0.3 million.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04"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9"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2019. We have based our estimates on assumptions that may prove to be wrong and we could utilize our available capital resources sooner than we currently expect. Our future funding requirements will depend on many factors, including: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700" w:right="579" w:hanging="656"/>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w:t>
      </w: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9" w:lineRule="exact"/>
        <w:rPr>
          <w:rFonts w:ascii="Arial" w:cs="Arial" w:eastAsia="Arial" w:hAnsi="Arial"/>
          <w:sz w:val="18"/>
          <w:szCs w:val="18"/>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If the conditions for raising capital are favorable, we may seek to finance future cash needs through public or private equity or debt offerings or other financings. On March 19, 2019, we filed a universal shelf registration statement on Form S-3, which was declared effective by the SEC on May 10, 2019, and pursuant to which we registered for sale up to $200 million of any combination of our common stock, preferred stock, debt securities, warrants, rights, and/or units from time to time and at prices and on terms that we may determine. After the sales of shares of common stock in our “at-the-market” offering during June 2019, and the sale of 2,732,673 shares of common stock in our underwritten public offering in August 2019, approximately $81.3 million of securities remained available for issuance under this shelf registration statement. This registration statement will remain in effect up to May 10, 2022.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As of March 31, 2020, there have been no material changes to our contractual obligations and commitments from those described under “Management’s Discussion and Analysis of Financial Condition and Results of Operations” included in our Annual Report on Form 10-K for the year ended December 31,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Critical Accounting Policies, Significant Judgements and Estimates</w:t>
      </w:r>
    </w:p>
    <w:p>
      <w:pPr>
        <w:spacing w:after="0" w:line="22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stock-compensation.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66"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Judgements and Estimates” included in our Annual Report on Form 10-K for the year ended December 31, 2019. There have been no material changes to our critical accounting policies and estimates as disclosed therein, with the exception of our adoption of recent accounting pronouncements, as discussed below.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We adopted ASC 842 and its related amendments. See Notes 2 and 10 to our unaudited financial statements included elsewhere in this Quarterly Report on Form 10-Q for more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At March 31, 2020, there have been no material changes to the market risk information described under “Quantitative and Qualitative Disclosures About Market Risk” included in the Annual Report on Form 10-K for the year ended December 31,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40" w:right="479" w:firstLine="652"/>
        <w:spacing w:after="0" w:line="224" w:lineRule="exact"/>
        <w:tabs>
          <w:tab w:leader="none" w:pos="932"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w:t>
      </w:r>
    </w:p>
    <w:p>
      <w:pPr>
        <w:ind w:left="40" w:right="79"/>
        <w:spacing w:after="0" w:line="216" w:lineRule="exact"/>
        <w:rPr>
          <w:rFonts w:ascii="Arial" w:cs="Arial" w:eastAsia="Arial" w:hAnsi="Arial"/>
          <w:sz w:val="16"/>
          <w:szCs w:val="16"/>
          <w:color w:val="auto"/>
        </w:rPr>
      </w:pPr>
      <w:r>
        <w:rPr>
          <w:rFonts w:ascii="Arial" w:cs="Arial" w:eastAsia="Arial" w:hAnsi="Arial"/>
          <w:sz w:val="16"/>
          <w:szCs w:val="16"/>
          <w:color w:val="auto"/>
        </w:rPr>
        <w:t>15d</w:t>
      </w:r>
      <w:r>
        <w:rPr>
          <w:rFonts w:ascii="MS PGothic" w:cs="MS PGothic" w:eastAsia="MS PGothic" w:hAnsi="MS PGothic"/>
          <w:sz w:val="16"/>
          <w:szCs w:val="16"/>
          <w:color w:val="auto"/>
        </w:rPr>
        <w:t>‑</w:t>
      </w:r>
      <w:r>
        <w:rPr>
          <w:rFonts w:ascii="Arial" w:cs="Arial" w:eastAsia="Arial" w:hAnsi="Arial"/>
          <w:sz w:val="16"/>
          <w:szCs w:val="16"/>
          <w:color w:val="auto"/>
        </w:rPr>
        <w:t>15(e) of the Securities Exchange Act of 1934, as amended, or the Exchange Act)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05" w:lineRule="exact"/>
        <w:rPr>
          <w:rFonts w:ascii="Arial" w:cs="Arial" w:eastAsia="Arial" w:hAnsi="Arial"/>
          <w:sz w:val="16"/>
          <w:szCs w:val="16"/>
          <w:color w:val="auto"/>
        </w:rPr>
      </w:pPr>
    </w:p>
    <w:p>
      <w:pPr>
        <w:ind w:left="40" w:right="419" w:firstLine="652"/>
        <w:spacing w:after="0" w:line="274" w:lineRule="auto"/>
        <w:tabs>
          <w:tab w:leader="none" w:pos="94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were no changes in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identified in connection with the evaluation of such internal control that occurred during the</w:t>
      </w:r>
    </w:p>
    <w:p>
      <w:pPr>
        <w:ind w:left="40" w:right="159"/>
        <w:spacing w:after="0" w:line="260" w:lineRule="auto"/>
        <w:rPr>
          <w:rFonts w:ascii="Arial" w:cs="Arial" w:eastAsia="Arial" w:hAnsi="Arial"/>
          <w:sz w:val="17"/>
          <w:szCs w:val="17"/>
          <w:color w:val="auto"/>
        </w:rPr>
      </w:pPr>
      <w:r>
        <w:rPr>
          <w:rFonts w:ascii="Arial" w:cs="Arial" w:eastAsia="Arial" w:hAnsi="Arial"/>
          <w:sz w:val="18"/>
          <w:szCs w:val="18"/>
          <w:color w:val="auto"/>
        </w:rPr>
        <w:t>three months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2019, filed with the SEC on March 13, 2020, except with respect to the impact of COVID-19 on our operations as set forth herein under “Management’s Discussion and Analysis of Financial Condition and Results of Operations.”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3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51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SEC File/</w:t>
            </w:r>
          </w:p>
        </w:tc>
      </w:tr>
      <w:tr>
        <w:trPr>
          <w:trHeight w:val="162"/>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Reg.</w:t>
            </w:r>
          </w:p>
        </w:tc>
      </w:tr>
      <w:tr>
        <w:trPr>
          <w:trHeight w:val="185"/>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8"/>
          </w:tcPr>
          <w:p>
            <w:pPr>
              <w:ind w:left="80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Herewith</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Form or Schedule</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Filing 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169"/>
        </w:trPr>
        <w:tc>
          <w:tcPr>
            <w:tcW w:w="20" w:type="dxa"/>
            <w:vAlign w:val="bottom"/>
          </w:tcPr>
          <w:p>
            <w:pPr>
              <w:spacing w:after="0"/>
              <w:rPr>
                <w:sz w:val="14"/>
                <w:szCs w:val="14"/>
                <w:color w:val="auto"/>
              </w:rPr>
            </w:pPr>
          </w:p>
        </w:tc>
        <w:tc>
          <w:tcPr>
            <w:tcW w:w="6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auto"/>
            </w:tcBorders>
            <w:gridSpan w:val="7"/>
          </w:tcPr>
          <w:p>
            <w:pPr>
              <w:spacing w:after="0" w:line="169"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the Principal Executive</w:t>
              </w:r>
            </w:hyperlink>
          </w:p>
        </w:tc>
        <w:tc>
          <w:tcPr>
            <w:tcW w:w="20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Borders>
              <w:top w:val="single" w:sz="8" w:color="0000EE"/>
            </w:tcBorders>
            <w:gridSpan w:val="7"/>
          </w:tcPr>
          <w:p>
            <w:pPr>
              <w:spacing w:after="0" w:line="182"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Officer pursuant to Section 302 of the</w:t>
              </w:r>
            </w:hyperlink>
          </w:p>
        </w:tc>
        <w:tc>
          <w:tcPr>
            <w:tcW w:w="2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Sarbanes-Oxley Act of 2002.</w:t>
              </w:r>
            </w:hyperlink>
          </w:p>
        </w:tc>
        <w:tc>
          <w:tcPr>
            <w:tcW w:w="6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306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of the Principal Financial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80" w:type="dxa"/>
            <w:vAlign w:val="bottom"/>
            <w:tcBorders>
              <w:top w:val="single" w:sz="8" w:color="0000EE"/>
            </w:tcBorders>
            <w:gridSpan w:val="6"/>
          </w:tcPr>
          <w:p>
            <w:pPr>
              <w:spacing w:after="0" w:line="18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Officer pursuant to Section 302 of the</w:t>
              </w:r>
            </w:hyperlink>
          </w:p>
        </w:tc>
        <w:tc>
          <w:tcPr>
            <w:tcW w:w="2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Sarbanes-Oxley Act of 2002.</w:t>
              </w:r>
            </w:hyperlink>
          </w:p>
        </w:tc>
        <w:tc>
          <w:tcPr>
            <w:tcW w:w="34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4"/>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30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Certifications of the Principal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Executive Officer and Principal</w:t>
              </w:r>
            </w:hyperlink>
          </w:p>
        </w:tc>
        <w:tc>
          <w:tcPr>
            <w:tcW w:w="140" w:type="dxa"/>
            <w:vAlign w:val="bottom"/>
            <w:tcBorders>
              <w:bottom w:val="single" w:sz="8" w:color="0000EE"/>
            </w:tcBorders>
          </w:tcPr>
          <w:p>
            <w:pPr>
              <w:spacing w:after="0"/>
              <w:rPr>
                <w:sz w:val="15"/>
                <w:szCs w:val="15"/>
                <w:color w:val="auto"/>
              </w:rPr>
            </w:pPr>
          </w:p>
        </w:tc>
        <w:tc>
          <w:tcPr>
            <w:tcW w:w="78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gridSpan w:val="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Financial Officer pursuant to</w:t>
              </w:r>
            </w:hyperlink>
          </w:p>
        </w:tc>
        <w:tc>
          <w:tcPr>
            <w:tcW w:w="78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Borders>
              <w:top w:val="single" w:sz="8" w:color="0000EE"/>
            </w:tcBorders>
            <w:gridSpan w:val="2"/>
          </w:tcPr>
          <w:p>
            <w:pPr>
              <w:spacing w:after="0" w:line="195" w:lineRule="exact"/>
              <w:rPr>
                <w:rFonts w:ascii="Arial" w:cs="Arial" w:eastAsia="Arial" w:hAnsi="Arial"/>
                <w:sz w:val="18"/>
                <w:szCs w:val="18"/>
                <w:u w:val="single" w:color="auto"/>
                <w:color w:val="0000EE"/>
                <w:w w:val="88"/>
              </w:rPr>
            </w:pPr>
            <w:hyperlink w:anchor="page44">
              <w:r>
                <w:rPr>
                  <w:rFonts w:ascii="Arial" w:cs="Arial" w:eastAsia="Arial" w:hAnsi="Arial"/>
                  <w:sz w:val="18"/>
                  <w:szCs w:val="18"/>
                  <w:u w:val="single" w:color="auto"/>
                  <w:color w:val="0000EE"/>
                  <w:w w:val="88"/>
                </w:rPr>
                <w:t>Section 906 of the Sarbanes-</w:t>
              </w:r>
            </w:hyperlink>
          </w:p>
        </w:tc>
        <w:tc>
          <w:tcPr>
            <w:tcW w:w="980" w:type="dxa"/>
            <w:vAlign w:val="bottom"/>
            <w:gridSpan w:val="7"/>
          </w:tcPr>
          <w:p>
            <w:pPr>
              <w:spacing w:after="0" w:line="195"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Oxley Act</w:t>
              </w:r>
            </w:hyperlink>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of 2002.</w:t>
              </w:r>
            </w:hyperlink>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05"/>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920" w:type="dxa"/>
            <w:vAlign w:val="bottom"/>
          </w:tcPr>
          <w:p>
            <w:pPr>
              <w:ind w:left="200"/>
              <w:spacing w:after="0"/>
              <w:rPr>
                <w:sz w:val="20"/>
                <w:szCs w:val="20"/>
                <w:color w:val="auto"/>
              </w:rPr>
            </w:pPr>
            <w:r>
              <w:rPr>
                <w:rFonts w:ascii="Arial" w:cs="Arial" w:eastAsia="Arial" w:hAnsi="Arial"/>
                <w:sz w:val="18"/>
                <w:szCs w:val="18"/>
                <w:color w:val="auto"/>
              </w:rPr>
              <w:t>.INS</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.SCH</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.CAL</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.DEF</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Definition.</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.LAB</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Taxonomy Extension Label</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.PRE</w:t>
            </w:r>
          </w:p>
        </w:tc>
        <w:tc>
          <w:tcPr>
            <w:tcW w:w="3060" w:type="dxa"/>
            <w:vAlign w:val="bottom"/>
            <w:gridSpan w:val="9"/>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60" w:type="dxa"/>
            <w:vAlign w:val="bottom"/>
            <w:gridSpan w:val="9"/>
          </w:tcPr>
          <w:p>
            <w:pPr>
              <w:spacing w:after="0"/>
              <w:rPr>
                <w:sz w:val="20"/>
                <w:szCs w:val="20"/>
                <w:color w:val="auto"/>
              </w:rPr>
            </w:pPr>
            <w:r>
              <w:rPr>
                <w:rFonts w:ascii="Arial" w:cs="Arial" w:eastAsia="Arial" w:hAnsi="Arial"/>
                <w:sz w:val="18"/>
                <w:szCs w:val="18"/>
                <w:color w:val="auto"/>
              </w:rPr>
              <w:t>Presentation Linkbase Document.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gridSpan w:val="9"/>
          </w:tcPr>
          <w:p>
            <w:pPr>
              <w:ind w:left="2800"/>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7"/>
              </w:rPr>
              <w:t>be signed on its behalf by the undersigned thereunto duly authorized.</w:t>
            </w:r>
          </w:p>
        </w:tc>
        <w:tc>
          <w:tcPr>
            <w:tcW w:w="3540" w:type="dxa"/>
            <w:vAlign w:val="bottom"/>
          </w:tcPr>
          <w:p>
            <w:pPr>
              <w:spacing w:after="0"/>
              <w:rPr>
                <w:sz w:val="20"/>
                <w:szCs w:val="20"/>
                <w:color w:val="auto"/>
              </w:rPr>
            </w:pPr>
          </w:p>
        </w:tc>
      </w:tr>
      <w:tr>
        <w:trPr>
          <w:trHeight w:val="431"/>
        </w:trPr>
        <w:tc>
          <w:tcPr>
            <w:tcW w:w="2920" w:type="dxa"/>
            <w:vAlign w:val="bottom"/>
          </w:tcPr>
          <w:p>
            <w:pPr>
              <w:spacing w:after="0"/>
              <w:rPr>
                <w:sz w:val="24"/>
                <w:szCs w:val="24"/>
                <w:color w:val="auto"/>
              </w:rPr>
            </w:pPr>
          </w:p>
        </w:tc>
        <w:tc>
          <w:tcPr>
            <w:tcW w:w="6000" w:type="dxa"/>
            <w:vAlign w:val="bottom"/>
            <w:gridSpan w:val="2"/>
          </w:tcPr>
          <w:p>
            <w:pPr>
              <w:ind w:left="200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Dated: May 7, 2020</w:t>
            </w:r>
          </w:p>
        </w:tc>
        <w:tc>
          <w:tcPr>
            <w:tcW w:w="2460" w:type="dxa"/>
            <w:vAlign w:val="bottom"/>
          </w:tcPr>
          <w:p>
            <w:pPr>
              <w:ind w:left="200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29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2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Chairman, President and Chief Executive</w:t>
            </w:r>
          </w:p>
        </w:tc>
      </w:tr>
      <w:tr>
        <w:trPr>
          <w:trHeight w:val="216"/>
        </w:trPr>
        <w:tc>
          <w:tcPr>
            <w:tcW w:w="2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2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1120"/>
        </w:trPr>
        <w:tc>
          <w:tcPr>
            <w:tcW w:w="2920" w:type="dxa"/>
            <w:vAlign w:val="bottom"/>
          </w:tcPr>
          <w:p>
            <w:pPr>
              <w:spacing w:after="0"/>
              <w:rPr>
                <w:sz w:val="20"/>
                <w:szCs w:val="20"/>
                <w:color w:val="auto"/>
              </w:rPr>
            </w:pPr>
            <w:r>
              <w:rPr>
                <w:rFonts w:ascii="Arial" w:cs="Arial" w:eastAsia="Arial" w:hAnsi="Arial"/>
                <w:sz w:val="18"/>
                <w:szCs w:val="18"/>
                <w:color w:val="auto"/>
              </w:rPr>
              <w:t>Dated: May 7, 2020</w:t>
            </w:r>
          </w:p>
        </w:tc>
        <w:tc>
          <w:tcPr>
            <w:tcW w:w="2460" w:type="dxa"/>
            <w:vAlign w:val="bottom"/>
          </w:tcPr>
          <w:p>
            <w:pPr>
              <w:ind w:left="200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29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16"/>
        </w:trPr>
        <w:tc>
          <w:tcPr>
            <w:tcW w:w="2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2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64"/>
        </w:trPr>
        <w:tc>
          <w:tcPr>
            <w:tcW w:w="2920" w:type="dxa"/>
            <w:vAlign w:val="bottom"/>
          </w:tcPr>
          <w:p>
            <w:pPr>
              <w:spacing w:after="0"/>
              <w:rPr>
                <w:sz w:val="24"/>
                <w:szCs w:val="24"/>
                <w:color w:val="auto"/>
              </w:rPr>
            </w:pP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41</w:t>
            </w:r>
          </w:p>
        </w:tc>
        <w:tc>
          <w:tcPr>
            <w:tcW w:w="3540" w:type="dxa"/>
            <w:vAlign w:val="bottom"/>
          </w:tcPr>
          <w:p>
            <w:pPr>
              <w:spacing w:after="0"/>
              <w:rPr>
                <w:sz w:val="24"/>
                <w:szCs w:val="24"/>
                <w:color w:val="auto"/>
              </w:rPr>
            </w:pPr>
          </w:p>
        </w:tc>
      </w:tr>
      <w:tr>
        <w:trPr>
          <w:trHeight w:val="560"/>
        </w:trPr>
        <w:tc>
          <w:tcPr>
            <w:tcW w:w="2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40" w:hanging="63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9"/>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9"/>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9"/>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3"/>
        <w:spacing w:after="0" w:line="340" w:lineRule="auto"/>
        <w:tabs>
          <w:tab w:leader="none" w:pos="13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60" w:hanging="3"/>
        <w:spacing w:after="0" w:line="311"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3"/>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3"/>
        <w:spacing w:after="0" w:line="286" w:lineRule="auto"/>
        <w:tabs>
          <w:tab w:leader="none" w:pos="13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9"/>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3"/>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3"/>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40" w:hanging="63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9"/>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9"/>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9"/>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3"/>
        <w:spacing w:after="0" w:line="340" w:lineRule="auto"/>
        <w:tabs>
          <w:tab w:leader="none" w:pos="13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60" w:hanging="3"/>
        <w:spacing w:after="0" w:line="311"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3"/>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3"/>
        <w:spacing w:after="0" w:line="286" w:lineRule="auto"/>
        <w:tabs>
          <w:tab w:leader="none" w:pos="130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9"/>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3"/>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3"/>
        <w:spacing w:after="0" w:line="277"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March 31,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May 7,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May 7,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2020-05-07T12:42:39Z</dcterms:created>
  <dcterms:modified xsi:type="dcterms:W3CDTF">2020-05-07T12:42:39Z</dcterms:modified>
</cp:coreProperties>
</file>