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151765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115570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161290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77"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340" w:hanging="330"/>
        <w:spacing w:after="0" w:line="236" w:lineRule="auto"/>
        <w:tabs>
          <w:tab w:leader="none" w:pos="3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340" w:hanging="330"/>
        <w:spacing w:after="0" w:line="256" w:lineRule="auto"/>
        <w:tabs>
          <w:tab w:leader="none" w:pos="3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p>
      <w:pPr>
        <w:ind w:left="3340"/>
        <w:spacing w:after="0"/>
        <w:tabs>
          <w:tab w:leader="none" w:pos="6200" w:val="left"/>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146050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QUANTERIX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124460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34"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4700" w:type="dxa"/>
            <w:vAlign w:val="bottom"/>
          </w:tcPr>
          <w:p>
            <w:pPr>
              <w:jc w:val="center"/>
              <w:ind w:right="1177"/>
              <w:spacing w:after="0"/>
              <w:rPr>
                <w:sz w:val="20"/>
                <w:szCs w:val="20"/>
                <w:color w:val="auto"/>
              </w:rPr>
            </w:pPr>
            <w:r>
              <w:rPr>
                <w:rFonts w:ascii="Arial" w:cs="Arial" w:eastAsia="Arial" w:hAnsi="Arial"/>
                <w:sz w:val="18"/>
                <w:szCs w:val="18"/>
                <w:b w:val="1"/>
                <w:bCs w:val="1"/>
                <w:color w:val="auto"/>
                <w:w w:val="91"/>
              </w:rPr>
              <w:t>Delaware</w:t>
            </w:r>
          </w:p>
        </w:tc>
        <w:tc>
          <w:tcPr>
            <w:tcW w:w="3220" w:type="dxa"/>
            <w:vAlign w:val="bottom"/>
          </w:tcPr>
          <w:p>
            <w:pPr>
              <w:jc w:val="right"/>
              <w:ind w:right="475"/>
              <w:spacing w:after="0"/>
              <w:rPr>
                <w:sz w:val="20"/>
                <w:szCs w:val="20"/>
                <w:color w:val="auto"/>
              </w:rPr>
            </w:pPr>
            <w:r>
              <w:rPr>
                <w:rFonts w:ascii="Arial" w:cs="Arial" w:eastAsia="Arial" w:hAnsi="Arial"/>
                <w:sz w:val="18"/>
                <w:szCs w:val="18"/>
                <w:b w:val="1"/>
                <w:bCs w:val="1"/>
                <w:color w:val="auto"/>
              </w:rPr>
              <w:t>20-8957988</w:t>
            </w:r>
          </w:p>
        </w:tc>
      </w:tr>
      <w:tr>
        <w:trPr>
          <w:trHeight w:val="182"/>
        </w:trPr>
        <w:tc>
          <w:tcPr>
            <w:tcW w:w="4700" w:type="dxa"/>
            <w:vAlign w:val="bottom"/>
          </w:tcPr>
          <w:p>
            <w:pPr>
              <w:jc w:val="center"/>
              <w:ind w:right="1177"/>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20" w:type="dxa"/>
            <w:vAlign w:val="bottom"/>
          </w:tcPr>
          <w:p>
            <w:pPr>
              <w:jc w:val="center"/>
              <w:ind w:left="1155"/>
              <w:spacing w:after="0"/>
              <w:rPr>
                <w:sz w:val="20"/>
                <w:szCs w:val="20"/>
                <w:color w:val="auto"/>
              </w:rPr>
            </w:pPr>
            <w:r>
              <w:rPr>
                <w:rFonts w:ascii="Arial" w:cs="Arial" w:eastAsia="Arial" w:hAnsi="Arial"/>
                <w:sz w:val="14"/>
                <w:szCs w:val="14"/>
                <w:color w:val="auto"/>
                <w:w w:val="97"/>
              </w:rPr>
              <w:t>(IRS Employer Identification No.)</w:t>
            </w:r>
          </w:p>
        </w:tc>
      </w:tr>
      <w:tr>
        <w:trPr>
          <w:trHeight w:val="304"/>
        </w:trPr>
        <w:tc>
          <w:tcPr>
            <w:tcW w:w="4700" w:type="dxa"/>
            <w:vAlign w:val="bottom"/>
          </w:tcPr>
          <w:p>
            <w:pPr>
              <w:jc w:val="center"/>
              <w:ind w:right="1157"/>
              <w:spacing w:after="0"/>
              <w:rPr>
                <w:sz w:val="20"/>
                <w:szCs w:val="20"/>
                <w:color w:val="auto"/>
              </w:rPr>
            </w:pPr>
            <w:r>
              <w:rPr>
                <w:rFonts w:ascii="Arial" w:cs="Arial" w:eastAsia="Arial" w:hAnsi="Arial"/>
                <w:sz w:val="18"/>
                <w:szCs w:val="18"/>
                <w:b w:val="1"/>
                <w:bCs w:val="1"/>
                <w:color w:val="auto"/>
                <w:w w:val="91"/>
              </w:rPr>
              <w:t>900 Middlesex Turnpike</w:t>
            </w:r>
          </w:p>
        </w:tc>
        <w:tc>
          <w:tcPr>
            <w:tcW w:w="3220" w:type="dxa"/>
            <w:vAlign w:val="bottom"/>
          </w:tcPr>
          <w:p>
            <w:pPr>
              <w:spacing w:after="0"/>
              <w:rPr>
                <w:sz w:val="24"/>
                <w:szCs w:val="24"/>
                <w:color w:val="auto"/>
              </w:rPr>
            </w:pPr>
          </w:p>
        </w:tc>
      </w:tr>
      <w:tr>
        <w:trPr>
          <w:trHeight w:val="216"/>
        </w:trPr>
        <w:tc>
          <w:tcPr>
            <w:tcW w:w="4700" w:type="dxa"/>
            <w:vAlign w:val="bottom"/>
          </w:tcPr>
          <w:p>
            <w:pPr>
              <w:jc w:val="center"/>
              <w:ind w:right="1177"/>
              <w:spacing w:after="0"/>
              <w:rPr>
                <w:sz w:val="20"/>
                <w:szCs w:val="20"/>
                <w:color w:val="auto"/>
              </w:rPr>
            </w:pPr>
            <w:r>
              <w:rPr>
                <w:rFonts w:ascii="Arial" w:cs="Arial" w:eastAsia="Arial" w:hAnsi="Arial"/>
                <w:sz w:val="18"/>
                <w:szCs w:val="18"/>
                <w:b w:val="1"/>
                <w:bCs w:val="1"/>
                <w:color w:val="auto"/>
                <w:w w:val="96"/>
              </w:rPr>
              <w:t>Billerica, MA</w:t>
            </w:r>
          </w:p>
        </w:tc>
        <w:tc>
          <w:tcPr>
            <w:tcW w:w="3220" w:type="dxa"/>
            <w:vAlign w:val="bottom"/>
          </w:tcPr>
          <w:p>
            <w:pPr>
              <w:jc w:val="right"/>
              <w:ind w:right="675"/>
              <w:spacing w:after="0"/>
              <w:rPr>
                <w:sz w:val="20"/>
                <w:szCs w:val="20"/>
                <w:color w:val="auto"/>
              </w:rPr>
            </w:pPr>
            <w:r>
              <w:rPr>
                <w:rFonts w:ascii="Arial" w:cs="Arial" w:eastAsia="Arial" w:hAnsi="Arial"/>
                <w:sz w:val="18"/>
                <w:szCs w:val="18"/>
                <w:b w:val="1"/>
                <w:bCs w:val="1"/>
                <w:color w:val="auto"/>
              </w:rPr>
              <w:t>01821</w:t>
            </w:r>
          </w:p>
        </w:tc>
      </w:tr>
      <w:tr>
        <w:trPr>
          <w:trHeight w:val="235"/>
        </w:trPr>
        <w:tc>
          <w:tcPr>
            <w:tcW w:w="4700" w:type="dxa"/>
            <w:vAlign w:val="bottom"/>
          </w:tcPr>
          <w:p>
            <w:pPr>
              <w:jc w:val="center"/>
              <w:ind w:right="1177"/>
              <w:spacing w:after="0"/>
              <w:rPr>
                <w:sz w:val="20"/>
                <w:szCs w:val="20"/>
                <w:color w:val="auto"/>
              </w:rPr>
            </w:pPr>
            <w:r>
              <w:rPr>
                <w:rFonts w:ascii="Arial" w:cs="Arial" w:eastAsia="Arial" w:hAnsi="Arial"/>
                <w:sz w:val="14"/>
                <w:szCs w:val="14"/>
                <w:color w:val="auto"/>
                <w:w w:val="95"/>
              </w:rPr>
              <w:t>(Address of principal executive offices)</w:t>
            </w:r>
          </w:p>
        </w:tc>
        <w:tc>
          <w:tcPr>
            <w:tcW w:w="3220" w:type="dxa"/>
            <w:vAlign w:val="bottom"/>
          </w:tcPr>
          <w:p>
            <w:pPr>
              <w:jc w:val="center"/>
              <w:ind w:left="1155"/>
              <w:spacing w:after="0"/>
              <w:rPr>
                <w:sz w:val="20"/>
                <w:szCs w:val="20"/>
                <w:color w:val="auto"/>
              </w:rPr>
            </w:pPr>
            <w:r>
              <w:rPr>
                <w:rFonts w:ascii="Arial" w:cs="Arial" w:eastAsia="Arial" w:hAnsi="Arial"/>
                <w:sz w:val="18"/>
                <w:szCs w:val="18"/>
                <w:color w:val="auto"/>
                <w:w w:val="91"/>
              </w:rPr>
              <w:t>(Zip Code)</w:t>
            </w:r>
          </w:p>
        </w:tc>
      </w:tr>
    </w:tbl>
    <w:p>
      <w:pPr>
        <w:spacing w:after="0" w:line="49" w:lineRule="exact"/>
        <w:rPr>
          <w:sz w:val="24"/>
          <w:szCs w:val="24"/>
          <w:color w:val="auto"/>
        </w:rPr>
      </w:pPr>
    </w:p>
    <w:p>
      <w:pPr>
        <w:ind w:left="26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301-9400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85725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9"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Title of each class:</w:t>
            </w:r>
          </w:p>
        </w:tc>
        <w:tc>
          <w:tcPr>
            <w:tcW w:w="2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Trading Symbol(s)</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6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QTRX</w:t>
            </w:r>
          </w:p>
        </w:tc>
        <w:tc>
          <w:tcPr>
            <w:tcW w:w="160" w:type="dxa"/>
            <w:vAlign w:val="bottom"/>
          </w:tcPr>
          <w:p>
            <w:pPr>
              <w:spacing w:after="0"/>
              <w:rPr>
                <w:sz w:val="19"/>
                <w:szCs w:val="19"/>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5" w:lineRule="exact"/>
        <w:rPr>
          <w:sz w:val="24"/>
          <w:szCs w:val="24"/>
          <w:color w:val="auto"/>
        </w:rPr>
      </w:pPr>
    </w:p>
    <w:p>
      <w:pPr>
        <w:ind w:left="20" w:right="260" w:firstLine="51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20"/>
        <w:spacing w:after="0" w:line="242" w:lineRule="exact"/>
        <w:tabs>
          <w:tab w:leader="none" w:pos="5080" w:val="left"/>
          <w:tab w:leader="none" w:pos="580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ab/>
        <w:t xml:space="preserve">No </w:t>
      </w:r>
      <w:r>
        <w:rPr>
          <w:rFonts w:ascii="Arial Unicode MS" w:cs="Arial Unicode MS" w:eastAsia="Arial Unicode MS" w:hAnsi="Arial Unicode MS"/>
          <w:sz w:val="18"/>
          <w:szCs w:val="18"/>
          <w:color w:val="auto"/>
        </w:rPr>
        <w:t>☐</w:t>
      </w:r>
    </w:p>
    <w:p>
      <w:pPr>
        <w:spacing w:after="0" w:line="20" w:lineRule="exact"/>
        <w:rPr>
          <w:sz w:val="24"/>
          <w:szCs w:val="24"/>
          <w:color w:val="auto"/>
        </w:rPr>
      </w:pPr>
    </w:p>
    <w:p>
      <w:pPr>
        <w:jc w:val="both"/>
        <w:ind w:left="20" w:right="5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left="20" w:right="260" w:firstLine="51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26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840" w:type="dxa"/>
            <w:vAlign w:val="bottom"/>
          </w:tcPr>
          <w:p>
            <w:pPr>
              <w:ind w:left="256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260"/>
              <w:spacing w:after="0" w:line="230" w:lineRule="exact"/>
              <w:rPr>
                <w:sz w:val="20"/>
                <w:szCs w:val="20"/>
                <w:color w:val="auto"/>
              </w:rPr>
            </w:pPr>
            <w:r>
              <w:rPr>
                <w:rFonts w:ascii="Arial Unicode MS" w:cs="Arial Unicode MS" w:eastAsia="Arial Unicode MS" w:hAnsi="Arial Unicode MS"/>
                <w:sz w:val="18"/>
                <w:szCs w:val="18"/>
                <w:color w:val="auto"/>
              </w:rPr>
              <w:t>☒</w:t>
            </w:r>
          </w:p>
        </w:tc>
        <w:tc>
          <w:tcPr>
            <w:tcW w:w="4840" w:type="dxa"/>
            <w:vAlign w:val="bottom"/>
          </w:tcPr>
          <w:p>
            <w:pPr>
              <w:ind w:left="256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230"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18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840" w:type="dxa"/>
            <w:vAlign w:val="bottom"/>
          </w:tcPr>
          <w:p>
            <w:pPr>
              <w:ind w:left="256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33" w:lineRule="exact"/>
        <w:rPr>
          <w:sz w:val="24"/>
          <w:szCs w:val="24"/>
          <w:color w:val="auto"/>
        </w:rPr>
      </w:pPr>
    </w:p>
    <w:p>
      <w:pPr>
        <w:ind w:left="20" w:right="1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1" w:lineRule="exact"/>
        <w:rPr>
          <w:sz w:val="24"/>
          <w:szCs w:val="24"/>
          <w:color w:val="auto"/>
        </w:rPr>
      </w:pPr>
    </w:p>
    <w:p>
      <w:pPr>
        <w:ind w:left="20"/>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July 29, 2021, the registrant had 36,522,840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554990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74930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117475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5" w:right="85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533"/>
        </w:trPr>
        <w:tc>
          <w:tcPr>
            <w:tcW w:w="38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Special Note Regarding Forward-Looking Statements</w:t>
              </w:r>
            </w:hyperlink>
          </w:p>
        </w:tc>
        <w:tc>
          <w:tcPr>
            <w:tcW w:w="464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62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40" w:type="dxa"/>
            <w:vAlign w:val="bottom"/>
            <w:tcBorders>
              <w:bottom w:val="single" w:sz="8" w:color="0000EE"/>
            </w:tcBorders>
            <w:gridSpan w:val="8"/>
          </w:tcPr>
          <w:p>
            <w:pPr>
              <w:jc w:val="cente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264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20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646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440" w:type="dxa"/>
            <w:vAlign w:val="bottom"/>
          </w:tcPr>
          <w:p>
            <w:pPr>
              <w:spacing w:after="0"/>
              <w:rPr>
                <w:sz w:val="17"/>
                <w:szCs w:val="17"/>
                <w:color w:val="auto"/>
              </w:rPr>
            </w:pPr>
          </w:p>
        </w:tc>
        <w:tc>
          <w:tcPr>
            <w:tcW w:w="672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Condensed Consolidated Balance Sheets at June 30, 2021 and December 31, 2020</w:t>
              </w:r>
            </w:hyperlink>
          </w:p>
        </w:tc>
        <w:tc>
          <w:tcPr>
            <w:tcW w:w="136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40" w:type="dxa"/>
            <w:vAlign w:val="bottom"/>
          </w:tcPr>
          <w:p>
            <w:pPr>
              <w:spacing w:after="0"/>
              <w:rPr>
                <w:sz w:val="17"/>
                <w:szCs w:val="17"/>
                <w:color w:val="auto"/>
              </w:rPr>
            </w:pPr>
          </w:p>
        </w:tc>
        <w:tc>
          <w:tcPr>
            <w:tcW w:w="8080" w:type="dxa"/>
            <w:vAlign w:val="bottom"/>
            <w:gridSpan w:val="27"/>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Unaudited Condensed Consolidated Statements of Operations for the Three and Six Months Ended June 30,</w:t>
              </w:r>
            </w:hyperlink>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5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2021 and 2020</w:t>
              </w:r>
            </w:hyperlink>
          </w:p>
        </w:tc>
        <w:tc>
          <w:tcPr>
            <w:tcW w:w="32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080" w:type="dxa"/>
            <w:vAlign w:val="bottom"/>
            <w:gridSpan w:val="27"/>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Unaudited Condensed Consolidated Statements of Comprehensive Loss for the Three and Six Months Ended</w:t>
              </w:r>
            </w:hyperlink>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7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June 30, 2021 and 2020</w:t>
              </w:r>
            </w:hyperlink>
          </w:p>
        </w:tc>
        <w:tc>
          <w:tcPr>
            <w:tcW w:w="5900" w:type="dxa"/>
            <w:vAlign w:val="bottom"/>
            <w:tcBorders>
              <w:top w:val="single" w:sz="8" w:color="0000EE"/>
            </w:tcBorders>
            <w:gridSpan w:val="13"/>
          </w:tcPr>
          <w:p>
            <w:pPr>
              <w:spacing w:after="0"/>
              <w:rPr>
                <w:sz w:val="17"/>
                <w:szCs w:val="17"/>
                <w:color w:val="auto"/>
              </w:rPr>
            </w:pPr>
          </w:p>
        </w:tc>
        <w:tc>
          <w:tcPr>
            <w:tcW w:w="24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8080" w:type="dxa"/>
            <w:vAlign w:val="bottom"/>
            <w:gridSpan w:val="27"/>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Unaudited Condensed Consolidated Statements of Cash Flows for the Six Months Ended June 30, 2021 and</w:t>
              </w:r>
            </w:hyperlink>
          </w:p>
        </w:tc>
        <w:tc>
          <w:tcPr>
            <w:tcW w:w="380" w:type="dxa"/>
            <w:vAlign w:val="bottom"/>
          </w:tcPr>
          <w:p>
            <w:pPr>
              <w:spacing w:after="0"/>
              <w:rPr>
                <w:sz w:val="17"/>
                <w:szCs w:val="17"/>
                <w:color w:val="auto"/>
              </w:rPr>
            </w:pPr>
          </w:p>
        </w:tc>
      </w:tr>
      <w:tr>
        <w:trPr>
          <w:trHeight w:val="196"/>
        </w:trPr>
        <w:tc>
          <w:tcPr>
            <w:tcW w:w="460" w:type="dxa"/>
            <w:vAlign w:val="bottom"/>
            <w:gridSpan w:val="2"/>
          </w:tcPr>
          <w:p>
            <w:pPr>
              <w:spacing w:after="0"/>
              <w:rPr>
                <w:sz w:val="17"/>
                <w:szCs w:val="17"/>
                <w:color w:val="auto"/>
              </w:rPr>
            </w:pPr>
          </w:p>
        </w:tc>
        <w:tc>
          <w:tcPr>
            <w:tcW w:w="560" w:type="dxa"/>
            <w:vAlign w:val="bottom"/>
            <w:tcBorders>
              <w:top w:val="single" w:sz="8" w:color="0000EE"/>
            </w:tcBorders>
            <w:gridSpan w:val="3"/>
          </w:tcPr>
          <w:p>
            <w:pPr>
              <w:ind w:left="200"/>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2020</w:t>
              </w:r>
            </w:hyperlink>
          </w:p>
        </w:tc>
        <w:tc>
          <w:tcPr>
            <w:tcW w:w="1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080" w:type="dxa"/>
            <w:vAlign w:val="bottom"/>
            <w:gridSpan w:val="27"/>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Unaudited Condensed Consolidated Statements of Stockholders’ Equity for the Three and Six Months Ended</w:t>
              </w:r>
            </w:hyperlink>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7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June 30, 2021 and 2020</w:t>
              </w:r>
            </w:hyperlink>
          </w:p>
        </w:tc>
        <w:tc>
          <w:tcPr>
            <w:tcW w:w="5920" w:type="dxa"/>
            <w:vAlign w:val="bottom"/>
            <w:tcBorders>
              <w:top w:val="single" w:sz="8" w:color="0000EE"/>
            </w:tcBorders>
            <w:gridSpan w:val="14"/>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40" w:type="dxa"/>
            <w:vAlign w:val="bottom"/>
          </w:tcPr>
          <w:p>
            <w:pPr>
              <w:spacing w:after="0"/>
              <w:rPr>
                <w:sz w:val="17"/>
                <w:szCs w:val="17"/>
                <w:color w:val="auto"/>
              </w:rPr>
            </w:pPr>
          </w:p>
        </w:tc>
        <w:tc>
          <w:tcPr>
            <w:tcW w:w="8080" w:type="dxa"/>
            <w:vAlign w:val="bottom"/>
            <w:gridSpan w:val="2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8520" w:type="dxa"/>
            <w:vAlign w:val="bottom"/>
            <w:gridSpan w:val="2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 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492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3"/>
          </w:tcPr>
          <w:p>
            <w:pPr>
              <w:spacing w:after="0"/>
              <w:rPr>
                <w:sz w:val="24"/>
                <w:szCs w:val="24"/>
                <w:color w:val="auto"/>
              </w:rPr>
            </w:pPr>
          </w:p>
        </w:tc>
        <w:tc>
          <w:tcPr>
            <w:tcW w:w="152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8520" w:type="dxa"/>
            <w:vAlign w:val="bottom"/>
            <w:gridSpan w:val="2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4. 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40" w:type="dxa"/>
            <w:vAlign w:val="bottom"/>
            <w:gridSpan w:val="13"/>
          </w:tcPr>
          <w:p>
            <w:pPr>
              <w:jc w:val="center"/>
              <w:ind w:right="2800"/>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 — OTHER INFORMATION</w:t>
              </w:r>
            </w:hyperlink>
          </w:p>
        </w:tc>
        <w:tc>
          <w:tcPr>
            <w:tcW w:w="380" w:type="dxa"/>
            <w:vAlign w:val="bottom"/>
          </w:tcPr>
          <w:p>
            <w:pPr>
              <w:spacing w:after="0"/>
              <w:rPr>
                <w:sz w:val="24"/>
                <w:szCs w:val="24"/>
                <w:color w:val="auto"/>
              </w:rPr>
            </w:pPr>
          </w:p>
        </w:tc>
      </w:tr>
      <w:tr>
        <w:trPr>
          <w:trHeight w:val="412"/>
        </w:trPr>
        <w:tc>
          <w:tcPr>
            <w:tcW w:w="2780" w:type="dxa"/>
            <w:vAlign w:val="bottom"/>
            <w:gridSpan w:val="1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 Legal Proceedings</w:t>
              </w:r>
            </w:hyperlink>
          </w:p>
        </w:tc>
        <w:tc>
          <w:tcPr>
            <w:tcW w:w="2940" w:type="dxa"/>
            <w:vAlign w:val="bottom"/>
            <w:tcBorders>
              <w:top w:val="single" w:sz="8" w:color="0000EE"/>
            </w:tcBorders>
            <w:gridSpan w:val="6"/>
          </w:tcPr>
          <w:p>
            <w:pPr>
              <w:spacing w:after="0"/>
              <w:rPr>
                <w:sz w:val="24"/>
                <w:szCs w:val="24"/>
                <w:color w:val="auto"/>
              </w:rPr>
            </w:pPr>
          </w:p>
        </w:tc>
        <w:tc>
          <w:tcPr>
            <w:tcW w:w="280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1880" w:type="dxa"/>
            <w:vAlign w:val="bottom"/>
            <w:tcBorders>
              <w:top w:val="single" w:sz="8" w:color="0000EE"/>
            </w:tcBorders>
            <w:gridSpan w:val="1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1A. Risk Factors</w:t>
              </w:r>
            </w:hyperlink>
          </w:p>
        </w:tc>
        <w:tc>
          <w:tcPr>
            <w:tcW w:w="6640" w:type="dxa"/>
            <w:vAlign w:val="bottom"/>
            <w:gridSpan w:val="1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76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62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490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2. Unregistered Sales of Equity Securities and Use of Proceeds</w:t>
              </w:r>
            </w:hyperlink>
          </w:p>
        </w:tc>
        <w:tc>
          <w:tcPr>
            <w:tcW w:w="362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28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3. Defaults Upon Senior Securities</w:t>
              </w:r>
            </w:hyperlink>
          </w:p>
        </w:tc>
        <w:tc>
          <w:tcPr>
            <w:tcW w:w="564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2"/>
        </w:trPr>
        <w:tc>
          <w:tcPr>
            <w:tcW w:w="23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4. Mine Safety Disclosures</w:t>
              </w:r>
            </w:hyperlink>
          </w:p>
        </w:tc>
        <w:tc>
          <w:tcPr>
            <w:tcW w:w="620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2"/>
        </w:trPr>
        <w:tc>
          <w:tcPr>
            <w:tcW w:w="8520" w:type="dxa"/>
            <w:vAlign w:val="bottom"/>
            <w:gridSpan w:val="2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5. 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2"/>
        </w:trPr>
        <w:tc>
          <w:tcPr>
            <w:tcW w:w="1860" w:type="dxa"/>
            <w:vAlign w:val="bottom"/>
            <w:tcBorders>
              <w:top w:val="single" w:sz="8" w:color="0000EE"/>
            </w:tcBorders>
            <w:gridSpan w:val="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6. Exhibits</w:t>
              </w:r>
            </w:hyperlink>
          </w:p>
        </w:tc>
        <w:tc>
          <w:tcPr>
            <w:tcW w:w="6660" w:type="dxa"/>
            <w:vAlign w:val="bottom"/>
            <w:gridSpan w:val="1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2"/>
        </w:trPr>
        <w:tc>
          <w:tcPr>
            <w:tcW w:w="7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5"/>
              </w:rPr>
            </w:pPr>
            <w:hyperlink w:anchor="page39">
              <w:r>
                <w:rPr>
                  <w:rFonts w:ascii="Arial" w:cs="Arial" w:eastAsia="Arial" w:hAnsi="Arial"/>
                  <w:sz w:val="18"/>
                  <w:szCs w:val="18"/>
                  <w:color w:val="0000EE"/>
                  <w:w w:val="85"/>
                </w:rPr>
                <w:t>Signatures</w:t>
              </w:r>
            </w:hyperlink>
          </w:p>
        </w:tc>
        <w:tc>
          <w:tcPr>
            <w:tcW w:w="380" w:type="dxa"/>
            <w:vAlign w:val="bottom"/>
            <w:tcBorders>
              <w:top w:val="single" w:sz="8" w:color="0000EE"/>
            </w:tcBorders>
            <w:gridSpan w:val="2"/>
          </w:tcPr>
          <w:p>
            <w:pPr>
              <w:spacing w:after="0"/>
              <w:rPr>
                <w:sz w:val="24"/>
                <w:szCs w:val="24"/>
                <w:color w:val="auto"/>
              </w:rPr>
            </w:pPr>
          </w:p>
        </w:tc>
        <w:tc>
          <w:tcPr>
            <w:tcW w:w="7380" w:type="dxa"/>
            <w:vAlign w:val="bottom"/>
            <w:gridSpan w:val="2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35"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This Quarterly Report on Form 10-Q contains forward-looking statements that involve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 our financial performance, and are subject to a number of risks, uncertainties and assumptions, including those described in this Quarterly Report on Form 10-Q and in “Part I, Item 1A, Risk Factors” of our Annual Report on Form 10-K for the year ended December 31, 2020 or other filings that we make with the Securities and Exchange Commission, or SEC.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87"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events or circumstances reflected in the forward-looking statements will be achieved or occur. You should read this Quarterly Report on Form 10-Q, and the documents that we reference herein and have filed with the SEC, with the understanding that our actual future results, levels of activity, performance, and events and circumstances may be materially different from what we expect. We undertake no obligation to update publicly any forward-looking statements for any reason after the date of this Quarterly Report on Form 10-Q to conform these statements to new information, actual results or to changes in our expectations, except as required by law.</w:t>
      </w:r>
    </w:p>
    <w:p>
      <w:pPr>
        <w:spacing w:after="0" w:line="165"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Unless the context otherwise requires, the terms “Quanterix,” the “Company,” “we,” “us” and “our” in this Quarterly Report on Form 10-Q refer to Quanterix Corporation and its subsidiaries. “Quanterix,” “Simoa,” “Simoa HD-X,” “Simoa HD-1,” “SR-X,” “SP-X,” “HD-X Analyzer,” “HD-1 Analyzer” and our logo are our trademarks. All other service marks, trademarks and trade names appearing in this Quarterly Report on Form 10-Q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1"/>
        </w:trPr>
        <w:tc>
          <w:tcPr>
            <w:tcW w:w="6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June 30, 2021</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r>
      <w:tr>
        <w:trPr>
          <w:trHeight w:val="196"/>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03"/>
        </w:trPr>
        <w:tc>
          <w:tcPr>
            <w:tcW w:w="62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430,780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181,584</w:t>
            </w:r>
          </w:p>
        </w:tc>
      </w:tr>
      <w:tr>
        <w:trPr>
          <w:trHeight w:val="193"/>
        </w:trPr>
        <w:tc>
          <w:tcPr>
            <w:tcW w:w="6280" w:type="dxa"/>
            <w:vAlign w:val="bottom"/>
          </w:tcPr>
          <w:p>
            <w:pPr>
              <w:ind w:left="120"/>
              <w:spacing w:after="0"/>
              <w:rPr>
                <w:sz w:val="20"/>
                <w:szCs w:val="20"/>
                <w:color w:val="auto"/>
              </w:rPr>
            </w:pPr>
            <w:r>
              <w:rPr>
                <w:rFonts w:ascii="Arial" w:cs="Arial" w:eastAsia="Arial" w:hAnsi="Arial"/>
                <w:sz w:val="16"/>
                <w:szCs w:val="16"/>
                <w:color w:val="auto"/>
                <w:w w:val="94"/>
              </w:rPr>
              <w:t>Accounts receivable (less allowance for credit losses of $377 and $370 as of June 30, 2021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6280" w:type="dxa"/>
            <w:vAlign w:val="bottom"/>
          </w:tcPr>
          <w:p>
            <w:pPr>
              <w:ind w:left="120"/>
              <w:spacing w:after="0"/>
              <w:rPr>
                <w:sz w:val="20"/>
                <w:szCs w:val="20"/>
                <w:color w:val="auto"/>
              </w:rPr>
            </w:pPr>
            <w:r>
              <w:rPr>
                <w:rFonts w:ascii="Arial" w:cs="Arial" w:eastAsia="Arial" w:hAnsi="Arial"/>
                <w:sz w:val="16"/>
                <w:szCs w:val="16"/>
                <w:color w:val="auto"/>
                <w:w w:val="95"/>
              </w:rPr>
              <w:t>and December 31, 2020, respectively; including $134 and $172 due from related parties as</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6280" w:type="dxa"/>
            <w:vAlign w:val="bottom"/>
          </w:tcPr>
          <w:p>
            <w:pPr>
              <w:ind w:left="120"/>
              <w:spacing w:after="0"/>
              <w:rPr>
                <w:sz w:val="20"/>
                <w:szCs w:val="20"/>
                <w:color w:val="auto"/>
              </w:rPr>
            </w:pPr>
            <w:r>
              <w:rPr>
                <w:rFonts w:ascii="Arial" w:cs="Arial" w:eastAsia="Arial" w:hAnsi="Arial"/>
                <w:sz w:val="16"/>
                <w:szCs w:val="16"/>
                <w:color w:val="auto"/>
              </w:rPr>
              <w:t>of June 30, 2021 and December 31, 2020, respectively)</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15,430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17,184</w:t>
            </w:r>
          </w:p>
        </w:tc>
      </w:tr>
      <w:tr>
        <w:trPr>
          <w:trHeight w:val="205"/>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Inventory</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21,225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14,856</w:t>
            </w:r>
          </w:p>
        </w:tc>
      </w:tr>
      <w:tr>
        <w:trPr>
          <w:trHeight w:val="203"/>
        </w:trPr>
        <w:tc>
          <w:tcPr>
            <w:tcW w:w="62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9,005</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5,981</w:t>
            </w:r>
          </w:p>
        </w:tc>
      </w:tr>
      <w:tr>
        <w:trPr>
          <w:trHeight w:val="196"/>
        </w:trPr>
        <w:tc>
          <w:tcPr>
            <w:tcW w:w="62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476,440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219,605</w:t>
            </w:r>
          </w:p>
        </w:tc>
      </w:tr>
      <w:tr>
        <w:trPr>
          <w:trHeight w:val="203"/>
        </w:trPr>
        <w:tc>
          <w:tcPr>
            <w:tcW w:w="628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0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13,912</w:t>
            </w:r>
          </w:p>
        </w:tc>
      </w:tr>
      <w:tr>
        <w:trPr>
          <w:trHeight w:val="203"/>
        </w:trPr>
        <w:tc>
          <w:tcPr>
            <w:tcW w:w="62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12,174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13,716</w:t>
            </w:r>
          </w:p>
        </w:tc>
      </w:tr>
      <w:tr>
        <w:trPr>
          <w:trHeight w:val="20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10,460</w:t>
            </w:r>
          </w:p>
        </w:tc>
      </w:tr>
      <w:tr>
        <w:trPr>
          <w:trHeight w:val="203"/>
        </w:trPr>
        <w:tc>
          <w:tcPr>
            <w:tcW w:w="6280" w:type="dxa"/>
            <w:vAlign w:val="bottom"/>
          </w:tcPr>
          <w:p>
            <w:pPr>
              <w:ind w:left="20"/>
              <w:spacing w:after="0"/>
              <w:rPr>
                <w:sz w:val="20"/>
                <w:szCs w:val="20"/>
                <w:color w:val="auto"/>
              </w:rPr>
            </w:pPr>
            <w:r>
              <w:rPr>
                <w:rFonts w:ascii="Arial" w:cs="Arial" w:eastAsia="Arial" w:hAnsi="Arial"/>
                <w:sz w:val="16"/>
                <w:szCs w:val="16"/>
                <w:color w:val="auto"/>
              </w:rPr>
              <w:t>Right-of-use assets</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11,754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11,995</w:t>
            </w:r>
          </w:p>
        </w:tc>
      </w:tr>
      <w:tr>
        <w:trPr>
          <w:trHeight w:val="20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r>
      <w:tr>
        <w:trPr>
          <w:trHeight w:val="236"/>
        </w:trPr>
        <w:tc>
          <w:tcPr>
            <w:tcW w:w="62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528,044</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271,045</w:t>
            </w:r>
          </w:p>
        </w:tc>
      </w:tr>
      <w:tr>
        <w:trPr>
          <w:trHeight w:val="183"/>
        </w:trPr>
        <w:tc>
          <w:tcPr>
            <w:tcW w:w="62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3"/>
        </w:trPr>
        <w:tc>
          <w:tcPr>
            <w:tcW w:w="62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3"/>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 (including $10 and $14 to related parties as of June 30, 2021 and</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2"/>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December 31, 2020,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6,799</w:t>
            </w:r>
          </w:p>
        </w:tc>
      </w:tr>
      <w:tr>
        <w:trPr>
          <w:trHeight w:val="203"/>
        </w:trPr>
        <w:tc>
          <w:tcPr>
            <w:tcW w:w="6280" w:type="dxa"/>
            <w:vAlign w:val="bottom"/>
          </w:tcPr>
          <w:p>
            <w:pPr>
              <w:ind w:left="120"/>
              <w:spacing w:after="0"/>
              <w:rPr>
                <w:sz w:val="20"/>
                <w:szCs w:val="20"/>
                <w:color w:val="auto"/>
              </w:rPr>
            </w:pPr>
            <w:r>
              <w:rPr>
                <w:rFonts w:ascii="Arial" w:cs="Arial" w:eastAsia="Arial" w:hAnsi="Arial"/>
                <w:sz w:val="16"/>
                <w:szCs w:val="16"/>
                <w:color w:val="auto"/>
              </w:rPr>
              <w:t>Accrued compensation and benefits</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8,919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10,777</w:t>
            </w:r>
          </w:p>
        </w:tc>
      </w:tr>
      <w:tr>
        <w:trPr>
          <w:trHeight w:val="193"/>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Other accrued expenses (including $8 and $1,377 to related parties as of June 30, 2021 and</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2"/>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December 31, 2020, respectively)</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4,845</w:t>
            </w:r>
          </w:p>
        </w:tc>
      </w:tr>
      <w:tr>
        <w:trPr>
          <w:trHeight w:val="193"/>
        </w:trPr>
        <w:tc>
          <w:tcPr>
            <w:tcW w:w="6280" w:type="dxa"/>
            <w:vAlign w:val="bottom"/>
          </w:tcPr>
          <w:p>
            <w:pPr>
              <w:ind w:left="120"/>
              <w:spacing w:after="0"/>
              <w:rPr>
                <w:sz w:val="20"/>
                <w:szCs w:val="20"/>
                <w:color w:val="auto"/>
              </w:rPr>
            </w:pPr>
            <w:r>
              <w:rPr>
                <w:rFonts w:ascii="Arial" w:cs="Arial" w:eastAsia="Arial" w:hAnsi="Arial"/>
                <w:sz w:val="16"/>
                <w:szCs w:val="16"/>
                <w:color w:val="auto"/>
              </w:rPr>
              <w:t>Deferred revenue (including $45 and $90 with related parties as of June 30, 2021 and</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9"/>
        </w:trPr>
        <w:tc>
          <w:tcPr>
            <w:tcW w:w="6280" w:type="dxa"/>
            <w:vAlign w:val="bottom"/>
          </w:tcPr>
          <w:p>
            <w:pPr>
              <w:ind w:left="120"/>
              <w:spacing w:after="0"/>
              <w:rPr>
                <w:sz w:val="20"/>
                <w:szCs w:val="20"/>
                <w:color w:val="auto"/>
              </w:rPr>
            </w:pPr>
            <w:r>
              <w:rPr>
                <w:rFonts w:ascii="Arial" w:cs="Arial" w:eastAsia="Arial" w:hAnsi="Arial"/>
                <w:sz w:val="16"/>
                <w:szCs w:val="16"/>
                <w:color w:val="auto"/>
              </w:rPr>
              <w:t>December 31, 2020, respectively)</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5,421</w:t>
            </w:r>
          </w:p>
        </w:tc>
      </w:tr>
      <w:tr>
        <w:trPr>
          <w:trHeight w:val="205"/>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Current portion of long term debt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7,673</w:t>
            </w:r>
          </w:p>
        </w:tc>
      </w:tr>
      <w:tr>
        <w:trPr>
          <w:trHeight w:val="203"/>
        </w:trPr>
        <w:tc>
          <w:tcPr>
            <w:tcW w:w="6280" w:type="dxa"/>
            <w:vAlign w:val="bottom"/>
          </w:tcPr>
          <w:p>
            <w:pPr>
              <w:ind w:left="120"/>
              <w:spacing w:after="0"/>
              <w:rPr>
                <w:sz w:val="20"/>
                <w:szCs w:val="20"/>
                <w:color w:val="auto"/>
              </w:rPr>
            </w:pPr>
            <w:r>
              <w:rPr>
                <w:rFonts w:ascii="Arial" w:cs="Arial" w:eastAsia="Arial" w:hAnsi="Arial"/>
                <w:sz w:val="16"/>
                <w:szCs w:val="16"/>
                <w:color w:val="auto"/>
              </w:rPr>
              <w:t>Short term lease liabilities</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1,234</w:t>
            </w:r>
          </w:p>
        </w:tc>
      </w:tr>
      <w:tr>
        <w:trPr>
          <w:trHeight w:val="203"/>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current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1,624</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3,054</w:t>
            </w:r>
          </w:p>
        </w:tc>
      </w:tr>
      <w:tr>
        <w:trPr>
          <w:trHeight w:val="196"/>
        </w:trPr>
        <w:tc>
          <w:tcPr>
            <w:tcW w:w="628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37,675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39,803</w:t>
            </w:r>
          </w:p>
        </w:tc>
      </w:tr>
      <w:tr>
        <w:trPr>
          <w:trHeight w:val="20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net of current portion</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r>
      <w:tr>
        <w:trPr>
          <w:trHeight w:val="203"/>
        </w:trPr>
        <w:tc>
          <w:tcPr>
            <w:tcW w:w="6280" w:type="dxa"/>
            <w:vAlign w:val="bottom"/>
          </w:tcPr>
          <w:p>
            <w:pPr>
              <w:ind w:left="20"/>
              <w:spacing w:after="0"/>
              <w:rPr>
                <w:sz w:val="20"/>
                <w:szCs w:val="20"/>
                <w:color w:val="auto"/>
              </w:rPr>
            </w:pPr>
            <w:r>
              <w:rPr>
                <w:rFonts w:ascii="Arial" w:cs="Arial" w:eastAsia="Arial" w:hAnsi="Arial"/>
                <w:sz w:val="16"/>
                <w:szCs w:val="16"/>
                <w:color w:val="auto"/>
              </w:rPr>
              <w:t>Long term lease liabilities</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21,210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21,891</w:t>
            </w:r>
          </w:p>
        </w:tc>
      </w:tr>
      <w:tr>
        <w:trPr>
          <w:trHeight w:val="20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2,409</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2,649</w:t>
            </w:r>
          </w:p>
        </w:tc>
      </w:tr>
      <w:tr>
        <w:trPr>
          <w:trHeight w:val="196"/>
        </w:trPr>
        <w:tc>
          <w:tcPr>
            <w:tcW w:w="628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62,034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64,920</w:t>
            </w:r>
          </w:p>
        </w:tc>
      </w:tr>
      <w:tr>
        <w:trPr>
          <w:trHeight w:val="20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280" w:type="dxa"/>
            <w:vAlign w:val="bottom"/>
          </w:tcPr>
          <w:p>
            <w:pPr>
              <w:ind w:left="120"/>
              <w:spacing w:after="0"/>
              <w:rPr>
                <w:sz w:val="20"/>
                <w:szCs w:val="20"/>
                <w:color w:val="auto"/>
              </w:rPr>
            </w:pPr>
            <w:r>
              <w:rPr>
                <w:rFonts w:ascii="Arial" w:cs="Arial" w:eastAsia="Arial" w:hAnsi="Arial"/>
                <w:sz w:val="16"/>
                <w:szCs w:val="16"/>
                <w:color w:val="auto"/>
              </w:rPr>
              <w:t>Common stock, $0.001 par value:</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3"/>
        </w:trPr>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7"/>
              </w:rPr>
              <w:t>Authorized—120,000,000 shares as of June 30, 2021 and December 31, 2020; issued</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3"/>
        </w:trPr>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and outstanding — 36,454,369 and 31,796,544 shares as of June 30, 2021 and</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2"/>
        </w:trPr>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December 31, 2020, respectively</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3"/>
        </w:trPr>
        <w:tc>
          <w:tcPr>
            <w:tcW w:w="628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734,170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451,433</w:t>
            </w:r>
          </w:p>
        </w:tc>
      </w:tr>
      <w:tr>
        <w:trPr>
          <w:trHeight w:val="203"/>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income</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w:t>
            </w:r>
          </w:p>
        </w:tc>
      </w:tr>
      <w:tr>
        <w:trPr>
          <w:trHeight w:val="202"/>
        </w:trPr>
        <w:tc>
          <w:tcPr>
            <w:tcW w:w="628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(269,775)</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(247,774)</w:t>
            </w:r>
          </w:p>
        </w:tc>
      </w:tr>
      <w:tr>
        <w:trPr>
          <w:trHeight w:val="196"/>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466,010</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206,125</w:t>
            </w:r>
          </w:p>
        </w:tc>
      </w:tr>
      <w:tr>
        <w:trPr>
          <w:trHeight w:val="196"/>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528,044</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271,045</w:t>
            </w:r>
          </w:p>
        </w:tc>
      </w:tr>
      <w:tr>
        <w:trPr>
          <w:trHeight w:val="20"/>
        </w:trPr>
        <w:tc>
          <w:tcPr>
            <w:tcW w:w="6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4"/>
                <w:szCs w:val="14"/>
                <w:color w:val="auto"/>
              </w:rPr>
            </w:pPr>
          </w:p>
        </w:tc>
        <w:tc>
          <w:tcPr>
            <w:tcW w:w="210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4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8"/>
              </w:rPr>
              <w:t>Product revenue (including related party activity of $151</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and $186 for the three months ended June 30, 2021 and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2020, respectively, and $243 and $220 for the six months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ended June 30, 2021 and 2020,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00" w:type="dxa"/>
            <w:vAlign w:val="bottom"/>
          </w:tcPr>
          <w:p>
            <w:pPr>
              <w:ind w:left="20"/>
              <w:spacing w:after="0" w:line="201" w:lineRule="exact"/>
              <w:rPr>
                <w:sz w:val="20"/>
                <w:szCs w:val="20"/>
                <w:color w:val="auto"/>
              </w:rPr>
            </w:pPr>
            <w:r>
              <w:rPr>
                <w:rFonts w:ascii="Arial" w:cs="Arial" w:eastAsia="Arial" w:hAnsi="Arial"/>
                <w:sz w:val="18"/>
                <w:szCs w:val="18"/>
                <w:color w:val="auto"/>
                <w:w w:val="95"/>
              </w:rPr>
              <w:t>Service and other revenue (including related party activity</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w w:val="96"/>
              </w:rPr>
              <w:t>of $5 and $21 for the three months ended June 30, 2021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and 2020, respectively, and $29 and $45 for the six</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months ended June 30, 2021 and 2020, respectively)</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5,648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6,317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12,057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Collaboration and license revenue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Grant revenue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28,857</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Costs of goods sold: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Cost of product revenue (including related party activity</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 $486 and $30 for the three months ended June 30,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2021 and 2020, respectively, and $1,056 and $57 for the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six months ended June 30, 2021 and 2020, respectively)</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00" w:type="dxa"/>
            <w:vAlign w:val="bottom"/>
          </w:tcPr>
          <w:p>
            <w:pPr>
              <w:ind w:left="120"/>
              <w:spacing w:after="0" w:line="201" w:lineRule="exact"/>
              <w:rPr>
                <w:sz w:val="20"/>
                <w:szCs w:val="20"/>
                <w:color w:val="auto"/>
              </w:rPr>
            </w:pPr>
            <w:r>
              <w:rPr>
                <w:rFonts w:ascii="Arial" w:cs="Arial" w:eastAsia="Arial" w:hAnsi="Arial"/>
                <w:sz w:val="18"/>
                <w:szCs w:val="18"/>
                <w:color w:val="auto"/>
              </w:rPr>
              <w:t>Cost of service and other revenue (including related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w w:val="97"/>
              </w:rPr>
              <w:t>party activity of $34 and $0 for the three months ended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w w:val="92"/>
              </w:rPr>
              <w:t>June 30, 2021 and 2020, respectively, and $51 and $0 for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rPr>
              <w:t>the six months ended June 30, 2021 and 2020,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respectively)</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6,763</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5,229</w:t>
            </w:r>
          </w:p>
        </w:tc>
        <w:tc>
          <w:tcPr>
            <w:tcW w:w="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of goods sold and services</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0" w:type="dxa"/>
            <w:vAlign w:val="bottom"/>
          </w:tcPr>
          <w:p>
            <w:pPr>
              <w:ind w:left="120"/>
              <w:spacing w:after="0" w:line="201" w:lineRule="exact"/>
              <w:rPr>
                <w:sz w:val="20"/>
                <w:szCs w:val="20"/>
                <w:color w:val="auto"/>
              </w:rPr>
            </w:pPr>
            <w:r>
              <w:rPr>
                <w:rFonts w:ascii="Arial" w:cs="Arial" w:eastAsia="Arial" w:hAnsi="Arial"/>
                <w:sz w:val="18"/>
                <w:szCs w:val="18"/>
                <w:color w:val="auto"/>
              </w:rPr>
              <w:t>Research and development (including related party</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w w:val="95"/>
              </w:rPr>
              <w:t>activity of $43 and $23 for the three months ended June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w w:val="93"/>
              </w:rPr>
              <w:t>30, 2021 and 2020, respectively, and $51 and $59 for the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20"/>
              <w:spacing w:after="0"/>
              <w:rPr>
                <w:sz w:val="20"/>
                <w:szCs w:val="20"/>
                <w:color w:val="auto"/>
              </w:rPr>
            </w:pPr>
            <w:r>
              <w:rPr>
                <w:rFonts w:ascii="Arial" w:cs="Arial" w:eastAsia="Arial" w:hAnsi="Arial"/>
                <w:sz w:val="18"/>
                <w:szCs w:val="18"/>
                <w:color w:val="auto"/>
                <w:w w:val="94"/>
              </w:rPr>
              <w:t>six months ended June 30, 2021 and 2020, respectively)</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6,754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4,312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13,437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Selling, general and administrative (including related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party activity of $9 and $15 for the three months ended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June 30, 2021 and 2020, respectively, and $23 and $23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 the six months ended June 30, 2021 and 2020,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respectively)</w:t>
            </w: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20,788</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13,102</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40,243</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53,680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35,955</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(11,856)</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(12,320)</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(22,002)</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(11,897)</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(12,302)</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(22,001)</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(23,912)</w:t>
            </w: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4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(0.43)</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(0.62)</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(0.85)</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ind w:left="20"/>
              <w:spacing w:after="0" w:line="195" w:lineRule="exact"/>
              <w:rPr>
                <w:sz w:val="20"/>
                <w:szCs w:val="20"/>
                <w:color w:val="auto"/>
              </w:rPr>
            </w:pPr>
            <w:r>
              <w:rPr>
                <w:rFonts w:ascii="Arial" w:cs="Arial" w:eastAsia="Arial" w:hAnsi="Arial"/>
                <w:sz w:val="18"/>
                <w:szCs w:val="18"/>
                <w:color w:val="auto"/>
                <w:w w:val="93"/>
              </w:rPr>
              <w:t>Weighted-average common shares outstanding, basic and</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36,347,365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28,312,925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35,396,431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28,246,028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400" w:type="dxa"/>
            <w:vAlign w:val="bottom"/>
          </w:tcPr>
          <w:p>
            <w:pPr>
              <w:ind w:left="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See accompanying notes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4"/>
                <w:szCs w:val="14"/>
                <w:color w:val="auto"/>
              </w:rPr>
            </w:pPr>
          </w:p>
        </w:tc>
        <w:tc>
          <w:tcPr>
            <w:tcW w:w="262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28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209"/>
        </w:trPr>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(23,912)</w:t>
            </w:r>
          </w:p>
        </w:tc>
      </w:tr>
      <w:tr>
        <w:trPr>
          <w:trHeight w:val="211"/>
        </w:trPr>
        <w:tc>
          <w:tcPr>
            <w:tcW w:w="2840" w:type="dxa"/>
            <w:vAlign w:val="bottom"/>
          </w:tcPr>
          <w:p>
            <w:pPr>
              <w:ind w:left="120"/>
              <w:spacing w:after="0"/>
              <w:rPr>
                <w:sz w:val="20"/>
                <w:szCs w:val="20"/>
                <w:color w:val="auto"/>
              </w:rPr>
            </w:pPr>
            <w:r>
              <w:rPr>
                <w:rFonts w:ascii="Arial" w:cs="Arial" w:eastAsia="Arial" w:hAnsi="Arial"/>
                <w:sz w:val="16"/>
                <w:szCs w:val="16"/>
                <w:color w:val="auto"/>
              </w:rPr>
              <w:t>Other comprehensive loss: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1"/>
        </w:trPr>
        <w:tc>
          <w:tcPr>
            <w:tcW w:w="2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Cumulative translation adjustment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(856)</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10"/>
        </w:trPr>
        <w:tc>
          <w:tcPr>
            <w:tcW w:w="28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other comprehensive loss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2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09"/>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(11,502)</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(11,128)</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(22,857)</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(23,785)</w:t>
            </w:r>
          </w:p>
        </w:tc>
      </w:tr>
      <w:tr>
        <w:trPr>
          <w:trHeight w:val="20"/>
        </w:trPr>
        <w:tc>
          <w:tcPr>
            <w:tcW w:w="2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6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2020</w:t>
            </w:r>
          </w:p>
        </w:tc>
      </w:tr>
      <w:tr>
        <w:trPr>
          <w:trHeight w:val="142"/>
        </w:trPr>
        <w:tc>
          <w:tcPr>
            <w:tcW w:w="62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Operating activities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9"/>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Net loss</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(22,001)</w:t>
            </w:r>
          </w:p>
        </w:tc>
        <w:tc>
          <w:tcPr>
            <w:tcW w:w="3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(23,912)</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Depreciation and amortization expense</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2,344</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2,079</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Inventory step-up amortization</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w:t>
            </w: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Credit loss expense on accounts receivable</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Reduction in the carrying amounts of right-of-use assets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r>
      <w:tr>
        <w:trPr>
          <w:trHeight w:val="149"/>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Stock-based compensation expense</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7,036</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4,610</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Non-cash interest expense</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Loss on disposal of fixed assets</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1,740</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1,445</w:t>
            </w: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Prepaid expenses and other assets</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(2,952)</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w:t>
            </w: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Inventory</w:t>
            </w:r>
          </w:p>
        </w:tc>
        <w:tc>
          <w:tcPr>
            <w:tcW w:w="2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(6,793)</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(3,504)</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non-current assets</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(959)</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Accrued compensation and benefits, other accrued expenses and other current liabilities</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(3,925)</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(1,008)</w:t>
            </w:r>
          </w:p>
        </w:tc>
      </w:tr>
      <w:tr>
        <w:trPr>
          <w:trHeight w:val="149"/>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Contract acquisition costs</w:t>
            </w:r>
          </w:p>
        </w:tc>
        <w:tc>
          <w:tcPr>
            <w:tcW w:w="2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Operating lease liabilities</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(590)</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w:t>
            </w: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Deferred tax liabilities</w:t>
            </w:r>
          </w:p>
        </w:tc>
        <w:tc>
          <w:tcPr>
            <w:tcW w:w="2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(120)</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Deferred revenue</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891</w:t>
            </w:r>
          </w:p>
        </w:tc>
        <w:tc>
          <w:tcPr>
            <w:tcW w:w="1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241</w:t>
            </w:r>
          </w:p>
        </w:tc>
      </w:tr>
      <w:tr>
        <w:trPr>
          <w:trHeight w:val="142"/>
        </w:trPr>
        <w:tc>
          <w:tcPr>
            <w:tcW w:w="62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used in operating activities</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(23,838)</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(20,600)</w:t>
            </w:r>
          </w:p>
        </w:tc>
      </w:tr>
      <w:tr>
        <w:trPr>
          <w:trHeight w:val="142"/>
        </w:trPr>
        <w:tc>
          <w:tcPr>
            <w:tcW w:w="62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Investing activities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Purchases of property and equipment</w:t>
            </w:r>
          </w:p>
        </w:tc>
        <w:tc>
          <w:tcPr>
            <w:tcW w:w="2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(7,339)</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(1,361)</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RADx grant on assets purchased</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5,210</w:t>
            </w:r>
          </w:p>
        </w:tc>
        <w:tc>
          <w:tcPr>
            <w:tcW w:w="1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62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(2,129)</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(1,361)</w:t>
            </w:r>
          </w:p>
        </w:tc>
      </w:tr>
      <w:tr>
        <w:trPr>
          <w:trHeight w:val="142"/>
        </w:trPr>
        <w:tc>
          <w:tcPr>
            <w:tcW w:w="62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Financing activities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Proceeds from stock options exercised</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5,469</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1,111</w:t>
            </w: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Sale of common stock in underwritten public offering, net</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269,718</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Proceeds from ESPP purchase</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519</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440</w:t>
            </w: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Payments on notes payable</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r>
      <w:tr>
        <w:trPr>
          <w:trHeight w:val="142"/>
        </w:trPr>
        <w:tc>
          <w:tcPr>
            <w:tcW w:w="62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275,706</w:t>
            </w:r>
          </w:p>
        </w:tc>
        <w:tc>
          <w:tcPr>
            <w:tcW w:w="16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1,476</w:t>
            </w:r>
          </w:p>
        </w:tc>
      </w:tr>
      <w:tr>
        <w:trPr>
          <w:trHeight w:val="142"/>
        </w:trPr>
        <w:tc>
          <w:tcPr>
            <w:tcW w:w="62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Net increase (decrease) in cash and cash equivalents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249,739</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(20,485)</w:t>
            </w: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Effect of foreign currency exchange rate on cash</w:t>
            </w:r>
          </w:p>
        </w:tc>
        <w:tc>
          <w:tcPr>
            <w:tcW w:w="2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(143)</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restricted cash, and cash equivalents at beginning of period</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182,584</w:t>
            </w:r>
          </w:p>
        </w:tc>
        <w:tc>
          <w:tcPr>
            <w:tcW w:w="1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110,181</w:t>
            </w:r>
          </w:p>
        </w:tc>
      </w:tr>
      <w:tr>
        <w:trPr>
          <w:trHeight w:val="142"/>
        </w:trPr>
        <w:tc>
          <w:tcPr>
            <w:tcW w:w="62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Cash, restricted cash, and cash equivalents at end of period</w:t>
            </w:r>
          </w:p>
        </w:tc>
        <w:tc>
          <w:tcPr>
            <w:tcW w:w="2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432,180</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89,806</w:t>
            </w:r>
          </w:p>
        </w:tc>
      </w:tr>
      <w:tr>
        <w:trPr>
          <w:trHeight w:val="142"/>
        </w:trPr>
        <w:tc>
          <w:tcPr>
            <w:tcW w:w="62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Supplemental cash flow information</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9"/>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Cash paid for interest</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309</w:t>
            </w:r>
          </w:p>
        </w:tc>
        <w:tc>
          <w:tcPr>
            <w:tcW w:w="160" w:type="dxa"/>
            <w:vAlign w:val="bottom"/>
          </w:tcPr>
          <w:p>
            <w:pPr>
              <w:spacing w:after="0"/>
              <w:rPr>
                <w:sz w:val="12"/>
                <w:szCs w:val="12"/>
                <w:color w:val="auto"/>
              </w:rPr>
            </w:pPr>
          </w:p>
        </w:tc>
        <w:tc>
          <w:tcPr>
            <w:tcW w:w="3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155</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Purchases of property and equipment included in accounts payable</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889</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Reconciliation of cash, cash equivalents, and restricted cash:</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430,780</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88,806</w:t>
            </w:r>
          </w:p>
        </w:tc>
      </w:tr>
      <w:tr>
        <w:trPr>
          <w:trHeight w:val="148"/>
        </w:trPr>
        <w:tc>
          <w:tcPr>
            <w:tcW w:w="624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Restricted cash</w:t>
            </w:r>
          </w:p>
        </w:tc>
        <w:tc>
          <w:tcPr>
            <w:tcW w:w="26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1,400</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1,000</w:t>
            </w:r>
          </w:p>
        </w:tc>
      </w:tr>
      <w:tr>
        <w:trPr>
          <w:trHeight w:val="142"/>
        </w:trPr>
        <w:tc>
          <w:tcPr>
            <w:tcW w:w="624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432,180</w:t>
            </w:r>
          </w:p>
        </w:tc>
        <w:tc>
          <w:tcPr>
            <w:tcW w:w="1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89,806</w:t>
            </w:r>
          </w:p>
        </w:tc>
      </w:tr>
      <w:tr>
        <w:trPr>
          <w:trHeight w:val="20"/>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Quanterix Corporation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48"/>
        </w:trPr>
        <w:tc>
          <w:tcPr>
            <w:tcW w:w="3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73"/>
              <w:spacing w:after="0"/>
              <w:rPr>
                <w:sz w:val="20"/>
                <w:szCs w:val="20"/>
                <w:color w:val="auto"/>
              </w:rPr>
            </w:pPr>
            <w:r>
              <w:rPr>
                <w:rFonts w:ascii="Arial" w:cs="Arial" w:eastAsia="Arial" w:hAnsi="Arial"/>
                <w:sz w:val="13"/>
                <w:szCs w:val="13"/>
                <w:b w:val="1"/>
                <w:bCs w:val="1"/>
                <w:color w:val="auto"/>
                <w:w w:val="96"/>
              </w:rPr>
              <w:t>Total</w:t>
            </w:r>
          </w:p>
        </w:tc>
      </w:tr>
      <w:tr>
        <w:trPr>
          <w:trHeight w:val="149"/>
        </w:trPr>
        <w:tc>
          <w:tcPr>
            <w:tcW w:w="382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760" w:type="dxa"/>
            <w:vAlign w:val="bottom"/>
            <w:gridSpan w:val="3"/>
          </w:tcPr>
          <w:p>
            <w:pPr>
              <w:ind w:left="40"/>
              <w:spacing w:after="0"/>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paid-in</w:t>
            </w:r>
          </w:p>
        </w:tc>
        <w:tc>
          <w:tcPr>
            <w:tcW w:w="10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comprehensive</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w w:val="89"/>
              </w:rPr>
              <w:t>stockholders’</w:t>
            </w:r>
          </w:p>
        </w:tc>
      </w:tr>
      <w:tr>
        <w:trPr>
          <w:trHeight w:val="161"/>
        </w:trPr>
        <w:tc>
          <w:tcPr>
            <w:tcW w:w="38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stock shares</w:t>
            </w: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stock value</w:t>
            </w:r>
          </w:p>
        </w:tc>
        <w:tc>
          <w:tcPr>
            <w:tcW w:w="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income (loss)</w:t>
            </w:r>
          </w:p>
        </w:tc>
        <w:tc>
          <w:tcPr>
            <w:tcW w:w="1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4"/>
                <w:szCs w:val="14"/>
                <w:color w:val="auto"/>
              </w:rPr>
            </w:pPr>
          </w:p>
        </w:tc>
        <w:tc>
          <w:tcPr>
            <w:tcW w:w="640" w:type="dxa"/>
            <w:vAlign w:val="bottom"/>
          </w:tcPr>
          <w:p>
            <w:pPr>
              <w:jc w:val="center"/>
              <w:ind w:right="93"/>
              <w:spacing w:after="0"/>
              <w:rPr>
                <w:sz w:val="20"/>
                <w:szCs w:val="20"/>
                <w:color w:val="auto"/>
              </w:rPr>
            </w:pPr>
            <w:r>
              <w:rPr>
                <w:rFonts w:ascii="Arial" w:cs="Arial" w:eastAsia="Arial" w:hAnsi="Arial"/>
                <w:sz w:val="13"/>
                <w:szCs w:val="13"/>
                <w:b w:val="1"/>
                <w:bCs w:val="1"/>
                <w:color w:val="auto"/>
                <w:w w:val="93"/>
              </w:rPr>
              <w:t>equity</w:t>
            </w:r>
          </w:p>
        </w:tc>
      </w:tr>
      <w:tr>
        <w:trPr>
          <w:trHeight w:val="142"/>
        </w:trPr>
        <w:tc>
          <w:tcPr>
            <w:tcW w:w="3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March 31, 2021</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98"/>
              </w:rPr>
              <w:t>36,294,928</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728,128</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1,183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(257,878)</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471,469</w:t>
            </w:r>
          </w:p>
        </w:tc>
      </w:tr>
      <w:tr>
        <w:trPr>
          <w:trHeight w:val="148"/>
        </w:trPr>
        <w:tc>
          <w:tcPr>
            <w:tcW w:w="3820" w:type="dxa"/>
            <w:vAlign w:val="bottom"/>
          </w:tcPr>
          <w:p>
            <w:pPr>
              <w:ind w:left="20"/>
              <w:spacing w:after="0"/>
              <w:rPr>
                <w:sz w:val="20"/>
                <w:szCs w:val="20"/>
                <w:color w:val="auto"/>
              </w:rPr>
            </w:pPr>
            <w:r>
              <w:rPr>
                <w:rFonts w:ascii="Arial" w:cs="Arial" w:eastAsia="Arial" w:hAnsi="Arial"/>
                <w:sz w:val="13"/>
                <w:szCs w:val="13"/>
                <w:color w:val="auto"/>
              </w:rPr>
              <w:t>Exercise of common stock options and vesting of restricted stock</w:t>
            </w:r>
          </w:p>
        </w:tc>
        <w:tc>
          <w:tcPr>
            <w:tcW w:w="700" w:type="dxa"/>
            <w:vAlign w:val="bottom"/>
          </w:tcPr>
          <w:p>
            <w:pPr>
              <w:jc w:val="right"/>
              <w:spacing w:after="0"/>
              <w:rPr>
                <w:sz w:val="20"/>
                <w:szCs w:val="20"/>
                <w:color w:val="auto"/>
              </w:rPr>
            </w:pPr>
            <w:r>
              <w:rPr>
                <w:rFonts w:ascii="Arial" w:cs="Arial" w:eastAsia="Arial" w:hAnsi="Arial"/>
                <w:sz w:val="13"/>
                <w:szCs w:val="13"/>
                <w:color w:val="auto"/>
              </w:rPr>
              <w:t>159,441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2,392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2,393</w:t>
            </w:r>
          </w:p>
        </w:tc>
      </w:tr>
      <w:tr>
        <w:trPr>
          <w:trHeight w:val="148"/>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3,650</w:t>
            </w:r>
          </w:p>
        </w:tc>
      </w:tr>
      <w:tr>
        <w:trPr>
          <w:trHeight w:val="148"/>
        </w:trPr>
        <w:tc>
          <w:tcPr>
            <w:tcW w:w="3820" w:type="dxa"/>
            <w:vAlign w:val="bottom"/>
          </w:tcPr>
          <w:p>
            <w:pPr>
              <w:ind w:left="20"/>
              <w:spacing w:after="0"/>
              <w:rPr>
                <w:sz w:val="20"/>
                <w:szCs w:val="20"/>
                <w:color w:val="auto"/>
              </w:rPr>
            </w:pPr>
            <w:r>
              <w:rPr>
                <w:rFonts w:ascii="Arial" w:cs="Arial" w:eastAsia="Arial" w:hAnsi="Arial"/>
                <w:sz w:val="13"/>
                <w:szCs w:val="13"/>
                <w:color w:val="auto"/>
              </w:rPr>
              <w:t>Cumulative translation adjustment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395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395</w:t>
            </w:r>
          </w:p>
        </w:tc>
      </w:tr>
      <w:tr>
        <w:trPr>
          <w:trHeight w:val="149"/>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(11,897)</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(11,897)</w:t>
            </w:r>
          </w:p>
        </w:tc>
      </w:tr>
      <w:tr>
        <w:trPr>
          <w:trHeight w:val="142"/>
        </w:trPr>
        <w:tc>
          <w:tcPr>
            <w:tcW w:w="382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Balance at June 30, 2021</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8"/>
              </w:rPr>
              <w:t>36,454,369</w:t>
            </w:r>
          </w:p>
        </w:tc>
        <w:tc>
          <w:tcPr>
            <w:tcW w:w="1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37</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734,170</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1,578</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(269,775)</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466,010</w:t>
            </w:r>
          </w:p>
        </w:tc>
      </w:tr>
      <w:tr>
        <w:trPr>
          <w:trHeight w:val="20"/>
        </w:trPr>
        <w:tc>
          <w:tcPr>
            <w:tcW w:w="3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65"/>
        </w:trPr>
        <w:tc>
          <w:tcPr>
            <w:tcW w:w="3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48"/>
        </w:trPr>
        <w:tc>
          <w:tcPr>
            <w:tcW w:w="3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73"/>
              <w:spacing w:after="0"/>
              <w:rPr>
                <w:sz w:val="20"/>
                <w:szCs w:val="20"/>
                <w:color w:val="auto"/>
              </w:rPr>
            </w:pPr>
            <w:r>
              <w:rPr>
                <w:rFonts w:ascii="Arial" w:cs="Arial" w:eastAsia="Arial" w:hAnsi="Arial"/>
                <w:sz w:val="13"/>
                <w:szCs w:val="13"/>
                <w:b w:val="1"/>
                <w:bCs w:val="1"/>
                <w:color w:val="auto"/>
                <w:w w:val="96"/>
              </w:rPr>
              <w:t>Total</w:t>
            </w:r>
          </w:p>
        </w:tc>
      </w:tr>
      <w:tr>
        <w:trPr>
          <w:trHeight w:val="149"/>
        </w:trPr>
        <w:tc>
          <w:tcPr>
            <w:tcW w:w="382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760" w:type="dxa"/>
            <w:vAlign w:val="bottom"/>
            <w:gridSpan w:val="3"/>
          </w:tcPr>
          <w:p>
            <w:pPr>
              <w:ind w:left="40"/>
              <w:spacing w:after="0"/>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paid-in</w:t>
            </w:r>
          </w:p>
        </w:tc>
        <w:tc>
          <w:tcPr>
            <w:tcW w:w="10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comprehensive</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w w:val="89"/>
              </w:rPr>
              <w:t>stockholders’</w:t>
            </w:r>
          </w:p>
        </w:tc>
      </w:tr>
      <w:tr>
        <w:trPr>
          <w:trHeight w:val="161"/>
        </w:trPr>
        <w:tc>
          <w:tcPr>
            <w:tcW w:w="38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stock shares</w:t>
            </w: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stock value</w:t>
            </w:r>
          </w:p>
        </w:tc>
        <w:tc>
          <w:tcPr>
            <w:tcW w:w="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income (loss)</w:t>
            </w:r>
          </w:p>
        </w:tc>
        <w:tc>
          <w:tcPr>
            <w:tcW w:w="1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4"/>
                <w:szCs w:val="14"/>
                <w:color w:val="auto"/>
              </w:rPr>
            </w:pPr>
          </w:p>
        </w:tc>
        <w:tc>
          <w:tcPr>
            <w:tcW w:w="640" w:type="dxa"/>
            <w:vAlign w:val="bottom"/>
          </w:tcPr>
          <w:p>
            <w:pPr>
              <w:jc w:val="center"/>
              <w:ind w:right="93"/>
              <w:spacing w:after="0"/>
              <w:rPr>
                <w:sz w:val="20"/>
                <w:szCs w:val="20"/>
                <w:color w:val="auto"/>
              </w:rPr>
            </w:pPr>
            <w:r>
              <w:rPr>
                <w:rFonts w:ascii="Arial" w:cs="Arial" w:eastAsia="Arial" w:hAnsi="Arial"/>
                <w:sz w:val="13"/>
                <w:szCs w:val="13"/>
                <w:b w:val="1"/>
                <w:bCs w:val="1"/>
                <w:color w:val="auto"/>
                <w:w w:val="93"/>
              </w:rPr>
              <w:t>equity</w:t>
            </w:r>
          </w:p>
        </w:tc>
      </w:tr>
      <w:tr>
        <w:trPr>
          <w:trHeight w:val="142"/>
        </w:trPr>
        <w:tc>
          <w:tcPr>
            <w:tcW w:w="3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March 31, 2020</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98"/>
              </w:rPr>
              <w:t>28,243,442</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348,072</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(1,200)</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(227,854)</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119,046</w:t>
            </w:r>
          </w:p>
        </w:tc>
      </w:tr>
      <w:tr>
        <w:trPr>
          <w:trHeight w:val="148"/>
        </w:trPr>
        <w:tc>
          <w:tcPr>
            <w:tcW w:w="3820" w:type="dxa"/>
            <w:vAlign w:val="bottom"/>
          </w:tcPr>
          <w:p>
            <w:pPr>
              <w:ind w:left="20"/>
              <w:spacing w:after="0"/>
              <w:rPr>
                <w:sz w:val="20"/>
                <w:szCs w:val="20"/>
                <w:color w:val="auto"/>
              </w:rPr>
            </w:pPr>
            <w:r>
              <w:rPr>
                <w:rFonts w:ascii="Arial" w:cs="Arial" w:eastAsia="Arial" w:hAnsi="Arial"/>
                <w:sz w:val="13"/>
                <w:szCs w:val="13"/>
                <w:color w:val="auto"/>
              </w:rPr>
              <w:t>Exercise of common stock options and vesting of restricted stock</w:t>
            </w:r>
          </w:p>
        </w:tc>
        <w:tc>
          <w:tcPr>
            <w:tcW w:w="700" w:type="dxa"/>
            <w:vAlign w:val="bottom"/>
          </w:tcPr>
          <w:p>
            <w:pPr>
              <w:jc w:val="right"/>
              <w:spacing w:after="0"/>
              <w:rPr>
                <w:sz w:val="20"/>
                <w:szCs w:val="20"/>
                <w:color w:val="auto"/>
              </w:rPr>
            </w:pPr>
            <w:r>
              <w:rPr>
                <w:rFonts w:ascii="Arial" w:cs="Arial" w:eastAsia="Arial" w:hAnsi="Arial"/>
                <w:sz w:val="13"/>
                <w:szCs w:val="13"/>
                <w:color w:val="auto"/>
              </w:rPr>
              <w:t>137,838</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615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615</w:t>
            </w:r>
          </w:p>
        </w:tc>
      </w:tr>
      <w:tr>
        <w:trPr>
          <w:trHeight w:val="148"/>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2,501</w:t>
            </w:r>
          </w:p>
        </w:tc>
      </w:tr>
      <w:tr>
        <w:trPr>
          <w:trHeight w:val="148"/>
        </w:trPr>
        <w:tc>
          <w:tcPr>
            <w:tcW w:w="3820" w:type="dxa"/>
            <w:vAlign w:val="bottom"/>
          </w:tcPr>
          <w:p>
            <w:pPr>
              <w:ind w:left="20"/>
              <w:spacing w:after="0"/>
              <w:rPr>
                <w:sz w:val="20"/>
                <w:szCs w:val="20"/>
                <w:color w:val="auto"/>
              </w:rPr>
            </w:pPr>
            <w:r>
              <w:rPr>
                <w:rFonts w:ascii="Arial" w:cs="Arial" w:eastAsia="Arial" w:hAnsi="Arial"/>
                <w:sz w:val="13"/>
                <w:szCs w:val="13"/>
                <w:color w:val="auto"/>
              </w:rPr>
              <w:t>Cumulative translation adjustment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1,174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1,174</w:t>
            </w:r>
          </w:p>
        </w:tc>
      </w:tr>
      <w:tr>
        <w:trPr>
          <w:trHeight w:val="149"/>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(12,302)</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(12,302)</w:t>
            </w:r>
          </w:p>
        </w:tc>
      </w:tr>
      <w:tr>
        <w:trPr>
          <w:trHeight w:val="142"/>
        </w:trPr>
        <w:tc>
          <w:tcPr>
            <w:tcW w:w="382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Balance at June 30, 2020</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8"/>
              </w:rPr>
              <w:t>28,381,280</w:t>
            </w:r>
          </w:p>
        </w:tc>
        <w:tc>
          <w:tcPr>
            <w:tcW w:w="1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28</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351,188</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(26)</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(240,156)</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111,034</w:t>
            </w:r>
          </w:p>
        </w:tc>
      </w:tr>
      <w:tr>
        <w:trPr>
          <w:trHeight w:val="20"/>
        </w:trPr>
        <w:tc>
          <w:tcPr>
            <w:tcW w:w="3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32"/>
        </w:trPr>
        <w:tc>
          <w:tcPr>
            <w:tcW w:w="3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48"/>
        </w:trPr>
        <w:tc>
          <w:tcPr>
            <w:tcW w:w="3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73"/>
              <w:spacing w:after="0"/>
              <w:rPr>
                <w:sz w:val="20"/>
                <w:szCs w:val="20"/>
                <w:color w:val="auto"/>
              </w:rPr>
            </w:pPr>
            <w:r>
              <w:rPr>
                <w:rFonts w:ascii="Arial" w:cs="Arial" w:eastAsia="Arial" w:hAnsi="Arial"/>
                <w:sz w:val="13"/>
                <w:szCs w:val="13"/>
                <w:b w:val="1"/>
                <w:bCs w:val="1"/>
                <w:color w:val="auto"/>
                <w:w w:val="96"/>
              </w:rPr>
              <w:t>Total</w:t>
            </w:r>
          </w:p>
        </w:tc>
      </w:tr>
      <w:tr>
        <w:trPr>
          <w:trHeight w:val="148"/>
        </w:trPr>
        <w:tc>
          <w:tcPr>
            <w:tcW w:w="382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760" w:type="dxa"/>
            <w:vAlign w:val="bottom"/>
            <w:gridSpan w:val="3"/>
          </w:tcPr>
          <w:p>
            <w:pPr>
              <w:ind w:left="40"/>
              <w:spacing w:after="0"/>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paid-in</w:t>
            </w:r>
          </w:p>
        </w:tc>
        <w:tc>
          <w:tcPr>
            <w:tcW w:w="10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comprehensive</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w w:val="89"/>
              </w:rPr>
              <w:t>stockholders’</w:t>
            </w:r>
          </w:p>
        </w:tc>
      </w:tr>
      <w:tr>
        <w:trPr>
          <w:trHeight w:val="161"/>
        </w:trPr>
        <w:tc>
          <w:tcPr>
            <w:tcW w:w="38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stock shares</w:t>
            </w: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stock value</w:t>
            </w:r>
          </w:p>
        </w:tc>
        <w:tc>
          <w:tcPr>
            <w:tcW w:w="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income (loss)</w:t>
            </w:r>
          </w:p>
        </w:tc>
        <w:tc>
          <w:tcPr>
            <w:tcW w:w="1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4"/>
                <w:szCs w:val="14"/>
                <w:color w:val="auto"/>
              </w:rPr>
            </w:pPr>
          </w:p>
        </w:tc>
        <w:tc>
          <w:tcPr>
            <w:tcW w:w="640" w:type="dxa"/>
            <w:vAlign w:val="bottom"/>
          </w:tcPr>
          <w:p>
            <w:pPr>
              <w:jc w:val="center"/>
              <w:ind w:right="93"/>
              <w:spacing w:after="0"/>
              <w:rPr>
                <w:sz w:val="20"/>
                <w:szCs w:val="20"/>
                <w:color w:val="auto"/>
              </w:rPr>
            </w:pPr>
            <w:r>
              <w:rPr>
                <w:rFonts w:ascii="Arial" w:cs="Arial" w:eastAsia="Arial" w:hAnsi="Arial"/>
                <w:sz w:val="13"/>
                <w:szCs w:val="13"/>
                <w:b w:val="1"/>
                <w:bCs w:val="1"/>
                <w:color w:val="auto"/>
                <w:w w:val="93"/>
              </w:rPr>
              <w:t>equity</w:t>
            </w:r>
          </w:p>
        </w:tc>
      </w:tr>
      <w:tr>
        <w:trPr>
          <w:trHeight w:val="142"/>
        </w:trPr>
        <w:tc>
          <w:tcPr>
            <w:tcW w:w="3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December 31, 2020</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98"/>
              </w:rPr>
              <w:t>31,796,544</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451,433</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2,434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(247,774)</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206,125</w:t>
            </w:r>
          </w:p>
        </w:tc>
      </w:tr>
      <w:tr>
        <w:trPr>
          <w:trHeight w:val="138"/>
        </w:trPr>
        <w:tc>
          <w:tcPr>
            <w:tcW w:w="3820" w:type="dxa"/>
            <w:vAlign w:val="bottom"/>
          </w:tcPr>
          <w:p>
            <w:pPr>
              <w:ind w:left="20"/>
              <w:spacing w:after="0" w:line="138" w:lineRule="exact"/>
              <w:rPr>
                <w:sz w:val="20"/>
                <w:szCs w:val="20"/>
                <w:color w:val="auto"/>
              </w:rPr>
            </w:pPr>
            <w:r>
              <w:rPr>
                <w:rFonts w:ascii="Arial" w:cs="Arial" w:eastAsia="Arial" w:hAnsi="Arial"/>
                <w:sz w:val="13"/>
                <w:szCs w:val="13"/>
                <w:color w:val="auto"/>
              </w:rPr>
              <w:t>Exercise of common stock options, warrants, and vesting of</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59"/>
        </w:trPr>
        <w:tc>
          <w:tcPr>
            <w:tcW w:w="3820" w:type="dxa"/>
            <w:vAlign w:val="bottom"/>
          </w:tcPr>
          <w:p>
            <w:pPr>
              <w:ind w:left="20"/>
              <w:spacing w:after="0"/>
              <w:rPr>
                <w:sz w:val="20"/>
                <w:szCs w:val="20"/>
                <w:color w:val="auto"/>
              </w:rPr>
            </w:pPr>
            <w:r>
              <w:rPr>
                <w:rFonts w:ascii="Arial" w:cs="Arial" w:eastAsia="Arial" w:hAnsi="Arial"/>
                <w:sz w:val="13"/>
                <w:szCs w:val="13"/>
                <w:color w:val="auto"/>
              </w:rPr>
              <w:t>restricted stock</w:t>
            </w:r>
          </w:p>
        </w:tc>
        <w:tc>
          <w:tcPr>
            <w:tcW w:w="700" w:type="dxa"/>
            <w:vAlign w:val="bottom"/>
          </w:tcPr>
          <w:p>
            <w:pPr>
              <w:jc w:val="right"/>
              <w:spacing w:after="0"/>
              <w:rPr>
                <w:sz w:val="20"/>
                <w:szCs w:val="20"/>
                <w:color w:val="auto"/>
              </w:rPr>
            </w:pPr>
            <w:r>
              <w:rPr>
                <w:rFonts w:ascii="Arial" w:cs="Arial" w:eastAsia="Arial" w:hAnsi="Arial"/>
                <w:sz w:val="13"/>
                <w:szCs w:val="13"/>
                <w:color w:val="auto"/>
              </w:rPr>
              <w:t>533,458</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5,468</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5,469</w:t>
            </w:r>
          </w:p>
        </w:tc>
      </w:tr>
      <w:tr>
        <w:trPr>
          <w:trHeight w:val="149"/>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 of common stock in underwritten public offering, net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4,107,142</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269,714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269,718</w:t>
            </w:r>
          </w:p>
        </w:tc>
      </w:tr>
      <w:tr>
        <w:trPr>
          <w:trHeight w:val="148"/>
        </w:trPr>
        <w:tc>
          <w:tcPr>
            <w:tcW w:w="3820" w:type="dxa"/>
            <w:vAlign w:val="bottom"/>
          </w:tcPr>
          <w:p>
            <w:pPr>
              <w:ind w:left="20"/>
              <w:spacing w:after="0"/>
              <w:rPr>
                <w:sz w:val="20"/>
                <w:szCs w:val="20"/>
                <w:color w:val="auto"/>
              </w:rPr>
            </w:pPr>
            <w:r>
              <w:rPr>
                <w:rFonts w:ascii="Arial" w:cs="Arial" w:eastAsia="Arial" w:hAnsi="Arial"/>
                <w:sz w:val="13"/>
                <w:szCs w:val="13"/>
                <w:color w:val="auto"/>
              </w:rPr>
              <w:t>ESPP stock purchase</w:t>
            </w:r>
          </w:p>
        </w:tc>
        <w:tc>
          <w:tcPr>
            <w:tcW w:w="700" w:type="dxa"/>
            <w:vAlign w:val="bottom"/>
          </w:tcPr>
          <w:p>
            <w:pPr>
              <w:jc w:val="right"/>
              <w:spacing w:after="0"/>
              <w:rPr>
                <w:sz w:val="20"/>
                <w:szCs w:val="20"/>
                <w:color w:val="auto"/>
              </w:rPr>
            </w:pPr>
            <w:r>
              <w:rPr>
                <w:rFonts w:ascii="Arial" w:cs="Arial" w:eastAsia="Arial" w:hAnsi="Arial"/>
                <w:sz w:val="13"/>
                <w:szCs w:val="13"/>
                <w:color w:val="auto"/>
              </w:rPr>
              <w:t>17,225</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519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519</w:t>
            </w:r>
          </w:p>
        </w:tc>
      </w:tr>
      <w:tr>
        <w:trPr>
          <w:trHeight w:val="149"/>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7,036</w:t>
            </w:r>
          </w:p>
        </w:tc>
      </w:tr>
      <w:tr>
        <w:trPr>
          <w:trHeight w:val="148"/>
        </w:trPr>
        <w:tc>
          <w:tcPr>
            <w:tcW w:w="3820" w:type="dxa"/>
            <w:vAlign w:val="bottom"/>
          </w:tcPr>
          <w:p>
            <w:pPr>
              <w:ind w:left="20"/>
              <w:spacing w:after="0"/>
              <w:rPr>
                <w:sz w:val="20"/>
                <w:szCs w:val="20"/>
                <w:color w:val="auto"/>
              </w:rPr>
            </w:pPr>
            <w:r>
              <w:rPr>
                <w:rFonts w:ascii="Arial" w:cs="Arial" w:eastAsia="Arial" w:hAnsi="Arial"/>
                <w:sz w:val="13"/>
                <w:szCs w:val="13"/>
                <w:color w:val="auto"/>
              </w:rPr>
              <w:t>Cumulative translation adjustment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(856)</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(856)</w:t>
            </w:r>
          </w:p>
        </w:tc>
      </w:tr>
      <w:tr>
        <w:trPr>
          <w:trHeight w:val="148"/>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(22,001)</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(22,001)</w:t>
            </w:r>
          </w:p>
        </w:tc>
      </w:tr>
      <w:tr>
        <w:trPr>
          <w:trHeight w:val="142"/>
        </w:trPr>
        <w:tc>
          <w:tcPr>
            <w:tcW w:w="382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Balance at June 30, 2021</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8"/>
              </w:rPr>
              <w:t>36,454,369</w:t>
            </w:r>
          </w:p>
        </w:tc>
        <w:tc>
          <w:tcPr>
            <w:tcW w:w="1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37</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734,170</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1,578</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(269,775)</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466,010</w:t>
            </w:r>
          </w:p>
        </w:tc>
      </w:tr>
      <w:tr>
        <w:trPr>
          <w:trHeight w:val="20"/>
        </w:trPr>
        <w:tc>
          <w:tcPr>
            <w:tcW w:w="3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65"/>
        </w:trPr>
        <w:tc>
          <w:tcPr>
            <w:tcW w:w="3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48"/>
        </w:trPr>
        <w:tc>
          <w:tcPr>
            <w:tcW w:w="3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73"/>
              <w:spacing w:after="0"/>
              <w:rPr>
                <w:sz w:val="20"/>
                <w:szCs w:val="20"/>
                <w:color w:val="auto"/>
              </w:rPr>
            </w:pPr>
            <w:r>
              <w:rPr>
                <w:rFonts w:ascii="Arial" w:cs="Arial" w:eastAsia="Arial" w:hAnsi="Arial"/>
                <w:sz w:val="13"/>
                <w:szCs w:val="13"/>
                <w:b w:val="1"/>
                <w:bCs w:val="1"/>
                <w:color w:val="auto"/>
                <w:w w:val="96"/>
              </w:rPr>
              <w:t>Total</w:t>
            </w:r>
          </w:p>
        </w:tc>
      </w:tr>
      <w:tr>
        <w:trPr>
          <w:trHeight w:val="148"/>
        </w:trPr>
        <w:tc>
          <w:tcPr>
            <w:tcW w:w="382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760" w:type="dxa"/>
            <w:vAlign w:val="bottom"/>
            <w:gridSpan w:val="3"/>
          </w:tcPr>
          <w:p>
            <w:pPr>
              <w:ind w:left="40"/>
              <w:spacing w:after="0"/>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paid-in</w:t>
            </w:r>
          </w:p>
        </w:tc>
        <w:tc>
          <w:tcPr>
            <w:tcW w:w="10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comprehensive</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w w:val="89"/>
              </w:rPr>
              <w:t>stockholders’</w:t>
            </w:r>
          </w:p>
        </w:tc>
      </w:tr>
      <w:tr>
        <w:trPr>
          <w:trHeight w:val="161"/>
        </w:trPr>
        <w:tc>
          <w:tcPr>
            <w:tcW w:w="38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stock shares</w:t>
            </w: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stock value</w:t>
            </w:r>
          </w:p>
        </w:tc>
        <w:tc>
          <w:tcPr>
            <w:tcW w:w="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income (loss)</w:t>
            </w:r>
          </w:p>
        </w:tc>
        <w:tc>
          <w:tcPr>
            <w:tcW w:w="1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4"/>
                <w:szCs w:val="14"/>
                <w:color w:val="auto"/>
              </w:rPr>
            </w:pPr>
          </w:p>
        </w:tc>
        <w:tc>
          <w:tcPr>
            <w:tcW w:w="640" w:type="dxa"/>
            <w:vAlign w:val="bottom"/>
          </w:tcPr>
          <w:p>
            <w:pPr>
              <w:jc w:val="center"/>
              <w:ind w:right="93"/>
              <w:spacing w:after="0"/>
              <w:rPr>
                <w:sz w:val="20"/>
                <w:szCs w:val="20"/>
                <w:color w:val="auto"/>
              </w:rPr>
            </w:pPr>
            <w:r>
              <w:rPr>
                <w:rFonts w:ascii="Arial" w:cs="Arial" w:eastAsia="Arial" w:hAnsi="Arial"/>
                <w:sz w:val="13"/>
                <w:szCs w:val="13"/>
                <w:b w:val="1"/>
                <w:bCs w:val="1"/>
                <w:color w:val="auto"/>
                <w:w w:val="93"/>
              </w:rPr>
              <w:t>equity</w:t>
            </w:r>
          </w:p>
        </w:tc>
      </w:tr>
      <w:tr>
        <w:trPr>
          <w:trHeight w:val="142"/>
        </w:trPr>
        <w:tc>
          <w:tcPr>
            <w:tcW w:w="3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December 31, 2019</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98"/>
              </w:rPr>
              <w:t>28,112,201</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345,027</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(153)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(216,244)</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128,658</w:t>
            </w:r>
          </w:p>
        </w:tc>
      </w:tr>
      <w:tr>
        <w:trPr>
          <w:trHeight w:val="148"/>
        </w:trPr>
        <w:tc>
          <w:tcPr>
            <w:tcW w:w="3820" w:type="dxa"/>
            <w:vAlign w:val="bottom"/>
          </w:tcPr>
          <w:p>
            <w:pPr>
              <w:ind w:left="20"/>
              <w:spacing w:after="0"/>
              <w:rPr>
                <w:sz w:val="20"/>
                <w:szCs w:val="20"/>
                <w:color w:val="auto"/>
              </w:rPr>
            </w:pPr>
            <w:r>
              <w:rPr>
                <w:rFonts w:ascii="Arial" w:cs="Arial" w:eastAsia="Arial" w:hAnsi="Arial"/>
                <w:sz w:val="13"/>
                <w:szCs w:val="13"/>
                <w:color w:val="auto"/>
              </w:rPr>
              <w:t>Exercise of common stock options and vesting of restricted stock</w:t>
            </w:r>
          </w:p>
        </w:tc>
        <w:tc>
          <w:tcPr>
            <w:tcW w:w="700" w:type="dxa"/>
            <w:vAlign w:val="bottom"/>
          </w:tcPr>
          <w:p>
            <w:pPr>
              <w:jc w:val="right"/>
              <w:spacing w:after="0"/>
              <w:rPr>
                <w:sz w:val="20"/>
                <w:szCs w:val="20"/>
                <w:color w:val="auto"/>
              </w:rPr>
            </w:pPr>
            <w:r>
              <w:rPr>
                <w:rFonts w:ascii="Arial" w:cs="Arial" w:eastAsia="Arial" w:hAnsi="Arial"/>
                <w:sz w:val="13"/>
                <w:szCs w:val="13"/>
                <w:color w:val="auto"/>
              </w:rPr>
              <w:t>246,386</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1,111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1,111</w:t>
            </w:r>
          </w:p>
        </w:tc>
      </w:tr>
      <w:tr>
        <w:trPr>
          <w:trHeight w:val="149"/>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ESPP stock purchase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22,693</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r>
      <w:tr>
        <w:trPr>
          <w:trHeight w:val="148"/>
        </w:trPr>
        <w:tc>
          <w:tcPr>
            <w:tcW w:w="38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4,610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4,610</w:t>
            </w:r>
          </w:p>
        </w:tc>
      </w:tr>
      <w:tr>
        <w:trPr>
          <w:trHeight w:val="148"/>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Cumulative translation adjustment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r>
      <w:tr>
        <w:trPr>
          <w:trHeight w:val="149"/>
        </w:trPr>
        <w:tc>
          <w:tcPr>
            <w:tcW w:w="3820" w:type="dxa"/>
            <w:vAlign w:val="bottom"/>
          </w:tcPr>
          <w:p>
            <w:pPr>
              <w:ind w:left="20"/>
              <w:spacing w:after="0"/>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(23,912)</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(23,912)</w:t>
            </w:r>
          </w:p>
        </w:tc>
      </w:tr>
      <w:tr>
        <w:trPr>
          <w:trHeight w:val="142"/>
        </w:trPr>
        <w:tc>
          <w:tcPr>
            <w:tcW w:w="38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June 30, 2020</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98"/>
              </w:rPr>
              <w:t>28,381,280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351,188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(240,156)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111,034</w:t>
            </w:r>
          </w:p>
        </w:tc>
      </w:tr>
      <w:tr>
        <w:trPr>
          <w:trHeight w:val="20"/>
        </w:trPr>
        <w:tc>
          <w:tcPr>
            <w:tcW w:w="3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000"/>
        <w:spacing w:after="0"/>
        <w:rPr>
          <w:sz w:val="20"/>
          <w:szCs w:val="20"/>
          <w:color w:val="auto"/>
        </w:rPr>
      </w:pPr>
      <w:r>
        <w:rPr>
          <w:rFonts w:ascii="Arial" w:cs="Arial" w:eastAsia="Arial" w:hAnsi="Arial"/>
          <w:sz w:val="16"/>
          <w:szCs w:val="16"/>
          <w:b w:val="1"/>
          <w:bCs w:val="1"/>
          <w:color w:val="auto"/>
        </w:rPr>
        <w:t>See accompanying notes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Quanterix Corporation (Nasdaq: QTRX) (the Company) is a life sciences company that has developed next generation, ultra-sensitive digital immunoassay platforms that advance precision health for life sciences research and diagnostics. The Company's platforms are based on its proprietary digital "Simoa" detection technology. The Company's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and have been discovered using technologies such as mass spectrometry. These capabilities provide the Company's customers with insight into the role of protein biomarkers in human health that has not been possible with other existing technologies and enable researchers to unlock unique insights into the continuum between health and disease. The Company is currently focusing on protein detection, which it believes is an area of significant unmet need and where it has significant competitive advantages. However, in addition to enabling new applications and insights in protein analysis, the Company’s Simoa platforms have also demonstrated applicability across other testing applications, including detection of nucleic acids and small molecules.</w:t>
      </w:r>
    </w:p>
    <w:p>
      <w:pPr>
        <w:spacing w:after="0" w:line="174"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6"/>
          <w:szCs w:val="16"/>
          <w:color w:val="auto"/>
        </w:rPr>
        <w:t>The Company launched its first immunoassay platform, the Simoa HD-1, in 2014. The HD-1 is a fully automated immunoassay bead-based platform with multiplexing and custom assay capability, and related assay test kits and consumable materials. The Company launched a second bead-based immunoassay platform (SR-X) in the fourth quarter of 2017 with a more compact footprint than the Simoa HD-1 and less automation designed for lower volume requirements while still allowing multiplexing and custom assay capability. The Company initiated an early-access program for its third instrument (SP-X) on the new Simoa planar array platform in January 2019, with the full commercial launch commencing in April 2019. In July 2019, the Company launched the Simoa HD-X, an upgraded version of the Simoa HD-1 which replaces the HD-1. The HD-X has been designed to deliver significant productivity and operational efficiency improvements, as well as greater user flexibility. The Company began shipping and installing HD-X instruments at customer locations in the third quarter of 2019. The Company also performs research services on behalf of customers to apply the Simoa technology to specific customer needs. The Company's customers are primarily in the research use only market, which includes academic and governmental research institutions, the research and development laboratories of pharmaceutical manufacturers, contract research organizations, and specialty research laboratories.</w:t>
      </w:r>
    </w:p>
    <w:p>
      <w:pPr>
        <w:spacing w:after="0" w:line="174"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 Company acquired Aushon Biosystems, Inc. (Aushon) in January 2018. With the acquisition of Aushon, the Company acquired a CLIA certified laboratory, as well as Aushon's proprietary sensitive planar array detection technology. Leveraging its proprietary sophisticated Simoa image analysis and data analysis algorithms, the Company further refined this planar array technology to develop the SP-X instrument to provide the same Simoa sensitivity found in its bead-based platform.</w:t>
      </w:r>
    </w:p>
    <w:p>
      <w:pPr>
        <w:spacing w:after="0" w:line="188"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The Company completed the acquisition of UmanDiagnostics AB (Uman), a Swedish company located in Umea, Sweden, in August 2019. Uman supplies neurofilament light (Nf-L) antibodies and ELISA kits, which are widely recognized by researchers and biopharmaceutical and diagnostics companies world-wide as the premier solution for the detection of Nf-L to advance the development of therapeutics and diagnostics for neurodegenerative conditions. With the acquisition of Uman, the Company has secured a long-term source of supply for a critical technology.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Underwritten public offerings</w:t>
      </w:r>
    </w:p>
    <w:p>
      <w:pPr>
        <w:spacing w:after="0" w:line="225" w:lineRule="exact"/>
        <w:rPr>
          <w:sz w:val="20"/>
          <w:szCs w:val="20"/>
          <w:color w:val="auto"/>
        </w:rPr>
      </w:pPr>
    </w:p>
    <w:p>
      <w:pPr>
        <w:ind w:left="60" w:right="239" w:firstLine="648"/>
        <w:spacing w:after="0" w:line="296" w:lineRule="auto"/>
        <w:rPr>
          <w:sz w:val="20"/>
          <w:szCs w:val="20"/>
          <w:color w:val="auto"/>
        </w:rPr>
      </w:pPr>
      <w:r>
        <w:rPr>
          <w:rFonts w:ascii="Arial" w:cs="Arial" w:eastAsia="Arial" w:hAnsi="Arial"/>
          <w:sz w:val="16"/>
          <w:szCs w:val="16"/>
          <w:color w:val="auto"/>
        </w:rPr>
        <w:t>On August 6, 2020, the Company entered into an underwriting agreement with SVB Leerink LLC (Leerink) and Cowen and Company, LLC (Cowen), as representatives of the several underwriters, relating to an underwritten public offering of approximately 3.0 million shares of the Company’s common stock, par value $0.001 per share. The underwritten public offering resulted in gross proceeds of $97.6 million. The Company incurred $6.2 million in issuance costs associated with the underwritten public offering, resulting in net proceeds to the Company of $91.4 million.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648"/>
        <w:spacing w:after="0" w:line="296" w:lineRule="auto"/>
        <w:rPr>
          <w:sz w:val="20"/>
          <w:szCs w:val="20"/>
          <w:color w:val="auto"/>
        </w:rPr>
      </w:pPr>
      <w:r>
        <w:rPr>
          <w:rFonts w:ascii="Arial" w:cs="Arial" w:eastAsia="Arial" w:hAnsi="Arial"/>
          <w:sz w:val="16"/>
          <w:szCs w:val="16"/>
          <w:color w:val="auto"/>
        </w:rPr>
        <w:t>On February 3, 2021, the Company entered into an underwriting agreement with Goldman Sachs &amp; Co. LLC, Leerink, and Cowen, as representatives of the several underwriters, relating to an underwritten public offering of approximately 4.1 million shares of the Company’s common stock, par value $0.001 per share. The underwritten public offering resulted in gross proceeds of $287.5 million. The Company incurred $17.8 million in issuance costs associated with the underwritten public offering, resulting in net proceeds to the Company of $269.7 million.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The interim condensed consolidated financial statements are unaudited. The unaudited condensed consolidated financial statements reflect, in the opinion of the Company’s management, all adjustments, consisting of only normal recurring adjustments, necessary for a fair presentation of financial position, results of operations, comprehensive loss and cash flows for each period presented in accordance with United States generally accepted accounting principles (U.S. GAAP) for interim financial information and with the instructions to Form 10-Q and Article 10 of Regulation S-X. Accordingly, certain information and disclosures normally included in financial statements prepared in accordance with U.S. GAAP have been condensed or omitted. These interim condensed consolidated financial statements should be read in conjunction with the audited consolidated financial statements and related notes thereto included in the Company’s Annual Report on Form 10-K for the year ended December 31, 2020 filed with the SEC on March 5, 2021 (the 2020 Annual Report on Form 10-K). The consolidated financial information as of December 31, 2020 has been derived from the audited 2020 consolidated financial statements included in the 2020 Annual Report on Form 10-K.</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The condensed consolidated financial statements have been prepared in accordance with U.S. GAAP and include the accounts of Quanterix Corporation and its wholly-owned subsidiaries. All material intercompany transactions and balances have been eliminated in consolidation.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amounts reported in the consolidated financial statements and accompanying notes. In making those estimates and assumptions, the Company bases its estimates on historical experience and on various other assumptions believed to be reasonable. The Company’s significant estimates included in the preparation of the consolidated financial statements are related to revenue recognition, fair value of assets acquired and liabilities assumed in acquisitions, valuation allowances recorded against deferred tax assets, and valuation of inventory. Actual results could differ from those estimates.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The Company translates assets and liabilities of its foreign subsidiaries at rates in effect at the end of the reporting period. Revenues and expenses are translated at average rates in effect during the reporting period. Translation adjustments are included in accumulated other comprehensive income.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recognized in the Company's consolidated financial statements or tax returns. Under this method, deferred tax assets and liabilities are determined based on differences between the consolidated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 xml:space="preserve">The Company accounts for uncertain tax positions in accordance with the provisions of Accounting Standards Codification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June 30, 2021, the Company did not have any significant uncertain tax positions.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left="60" w:right="199" w:firstLine="648"/>
        <w:spacing w:after="0" w:line="293" w:lineRule="auto"/>
        <w:rPr>
          <w:sz w:val="20"/>
          <w:szCs w:val="20"/>
          <w:color w:val="auto"/>
        </w:rPr>
      </w:pPr>
      <w:r>
        <w:rPr>
          <w:rFonts w:ascii="Arial" w:cs="Arial" w:eastAsia="Arial" w:hAnsi="Arial"/>
          <w:sz w:val="16"/>
          <w:szCs w:val="16"/>
          <w:color w:val="auto"/>
        </w:rPr>
        <w:t>Under the acquisition method of accounting, the Company generally recognizes the tangible and identifiable intangible assets acquired and liabilities assumed based on their estimated fair values on the date of acquisition. The fair values assigned, defined as the price that would be received to sell an asset or paid to transfer a liability in an orderly transaction between willing market participants, are based on estimates and assumptions determined by management. The excess consideration over the aggregate value of tangible and intangible assets, net of liabilities assumed, is recorded as goodwill. These valuations require significant estimates and assumptions, especially with respect to intangible assets.</w:t>
      </w:r>
    </w:p>
    <w:p>
      <w:pPr>
        <w:spacing w:after="0" w:line="164"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The Company typically uses the discounted cash flow method to value acquired intangible assets. This method requires significant management judgment to forecast future operating results and establish residual growth rates and discount factors. The estimates used to value and amortize intangible assets are consistent with the plans and estimates that are used to manage the business and are based on available historical information and industry estimates and averages. If the subsequent actual results and updated projections of the underlying business activity change compared with the assumptions and projections used to develop these values, the Company could experience impairment charges. In addition, the Company has estimated the economic lives of certain acquired assets and these lives are used to calculate depreciation and amortization expense. If estimates of the economic lives change, depreciation or amortization expenses could be accelerated or slowed.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Restricted cash primarily represents collateral for a letter of credit issued as security for the lease for the Company’s headquarters in Billerica, Massachusetts, and to secure the Company’s corporate credit card program. The restricted cash is long term in nature as the Company will not have access to the funds until more than one year from June 30,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The Company is considered to be an “emerging growth company” (EGC) as defined in the Jumpstart Our Business Startups Act of 2012, as amended (JOBS Act). The JOBS Act provides that an EGC can take advantage of an extended transition period for complying with new or revised accounting standards. Thus, an EGC can delay the adoption of certain accounting standards until those standards would otherwise apply to private companies. Because the market value of the Company’s common stock that was held by non-affiliates exceeded $700 million as of June 30, 2021, the Company will cease to be an EGC as of December 31, 2021. As a result, starting in 2022, the Company will be required to adopt new or revised accounting standards on the relevant dates on which adoption of such standards is required for other public companies.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w:t>
      </w:r>
    </w:p>
    <w:p>
      <w:pPr>
        <w:spacing w:after="0" w:line="225"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In June 2016, the Financial Accounting Standards Board (FASB) established Topic 326</w:t>
      </w:r>
      <w:r>
        <w:rPr>
          <w:rFonts w:ascii="Arial" w:cs="Arial" w:eastAsia="Arial" w:hAnsi="Arial"/>
          <w:sz w:val="16"/>
          <w:szCs w:val="16"/>
          <w:i w:val="1"/>
          <w:iCs w:val="1"/>
          <w:color w:val="auto"/>
        </w:rPr>
        <w:t>, Financial Instruments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Credit Losses: Measurement of Credit Losses on Financial Instruments </w:t>
      </w:r>
      <w:r>
        <w:rPr>
          <w:rFonts w:ascii="Arial" w:cs="Arial" w:eastAsia="Arial" w:hAnsi="Arial"/>
          <w:sz w:val="16"/>
          <w:szCs w:val="16"/>
          <w:color w:val="auto"/>
        </w:rPr>
        <w:t>(ASC 326) by issuing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Update (ASU) No. 2016-13 (ASU 2016-13), which amends the impairment model by requiring entities to use a forward-looking approach based on expected losses to estimate credit losses on certain types of financial instruments, including trade receivables and available-for-sale debt securities. The Company early adopted ASU 2016-13 on January 1, 2021 using the modified retrospective approach. The Company’s consolidated financial statements for prior-year periods have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308" w:lineRule="auto"/>
        <w:rPr>
          <w:sz w:val="20"/>
          <w:szCs w:val="20"/>
          <w:color w:val="auto"/>
        </w:rPr>
      </w:pPr>
      <w:r>
        <w:rPr>
          <w:rFonts w:ascii="Arial" w:cs="Arial" w:eastAsia="Arial" w:hAnsi="Arial"/>
          <w:sz w:val="17"/>
          <w:szCs w:val="17"/>
          <w:color w:val="auto"/>
        </w:rPr>
        <w:t>not been revised and are reflective of the credit loss requirements which were in effect for that period. The adoption of ASU 2016-13 did not have a material impact on the Company’s consolidated financial statements.</w:t>
      </w:r>
    </w:p>
    <w:p>
      <w:pPr>
        <w:spacing w:after="0" w:line="146"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 - Goodwill and Other - Internal-Use Software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350-40): Customer’s Accounting for Implementation Costs Incurred in a Cloud Computing Arrangement That Is a Service Contract </w:t>
      </w:r>
      <w:r>
        <w:rPr>
          <w:rFonts w:ascii="Arial" w:cs="Arial" w:eastAsia="Arial" w:hAnsi="Arial"/>
          <w:sz w:val="17"/>
          <w:szCs w:val="17"/>
          <w:color w:val="auto"/>
        </w:rPr>
        <w:t>(ASU 2018-15)</w:t>
      </w:r>
      <w:r>
        <w:rPr>
          <w:rFonts w:ascii="Arial" w:cs="Arial" w:eastAsia="Arial" w:hAnsi="Arial"/>
          <w:sz w:val="17"/>
          <w:szCs w:val="17"/>
          <w:i w:val="1"/>
          <w:iCs w:val="1"/>
          <w:color w:val="auto"/>
        </w:rPr>
        <w:t xml:space="preserve">. </w:t>
      </w:r>
      <w:r>
        <w:rPr>
          <w:rFonts w:ascii="Arial" w:cs="Arial" w:eastAsia="Arial" w:hAnsi="Arial"/>
          <w:sz w:val="17"/>
          <w:szCs w:val="17"/>
          <w:color w:val="auto"/>
        </w:rPr>
        <w:t>This ASU addresses the accounting for implementation, setup and other upfront costs</w:t>
      </w:r>
      <w:r>
        <w:rPr>
          <w:rFonts w:ascii="Arial" w:cs="Arial" w:eastAsia="Arial" w:hAnsi="Arial"/>
          <w:sz w:val="17"/>
          <w:szCs w:val="17"/>
          <w:i w:val="1"/>
          <w:iCs w:val="1"/>
          <w:color w:val="auto"/>
        </w:rPr>
        <w:t xml:space="preserve"> </w:t>
      </w:r>
      <w:r>
        <w:rPr>
          <w:rFonts w:ascii="Arial" w:cs="Arial" w:eastAsia="Arial" w:hAnsi="Arial"/>
          <w:sz w:val="17"/>
          <w:szCs w:val="17"/>
          <w:color w:val="auto"/>
        </w:rPr>
        <w:t>paid by a customer in a cloud computing or hosting arrangement. The guidance aligns the accounting treatment of these costs incurred in a hosting arrangement treated as a service contract with the requirements for capitalization and amortization costs to develop or obtain internal-use software. The Company adopted ASU 2018-15 on January 1, 2021 using the prospective method. The adoption of ASU 2018-15 did not have a material impact on the Company’s consolidated financial statements.</w:t>
      </w:r>
    </w:p>
    <w:p>
      <w:pPr>
        <w:spacing w:after="0" w:line="178"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(ASU 2019-12), which is intended to simplify various areas related to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ASU 2019-12 removes certain exceptions for performing intra period tax allocations and calculating income taxes in interim periods. The guidance also simplifies the accounting for transactions that result in a step-up in the tax basis of goodwill and the effect of enacted changes in tax laws or rates in interim periods. The Company early adopted ASU 2019-12 on January 1, 2021. The adoption of ASU 2019-12 did not have a material impact on the Company’s consolidated financial statements.</w:t>
      </w:r>
    </w:p>
    <w:p>
      <w:pPr>
        <w:spacing w:after="0" w:line="164" w:lineRule="exact"/>
        <w:rPr>
          <w:sz w:val="20"/>
          <w:szCs w:val="20"/>
          <w:color w:val="auto"/>
        </w:rPr>
      </w:pPr>
    </w:p>
    <w:p>
      <w:pPr>
        <w:ind w:left="60" w:right="919" w:firstLine="648"/>
        <w:spacing w:after="0" w:line="277" w:lineRule="auto"/>
        <w:rPr>
          <w:sz w:val="20"/>
          <w:szCs w:val="20"/>
          <w:color w:val="auto"/>
        </w:rPr>
      </w:pPr>
      <w:r>
        <w:rPr>
          <w:rFonts w:ascii="Arial" w:cs="Arial" w:eastAsia="Arial" w:hAnsi="Arial"/>
          <w:sz w:val="18"/>
          <w:szCs w:val="18"/>
          <w:color w:val="auto"/>
        </w:rPr>
        <w:t>There have been no other material changes to the significant accounting policies and recent accounting pronouncements previously disclosed in the 2020 Annual Report on Form 10-K.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ind w:left="60" w:right="139" w:firstLine="648"/>
        <w:spacing w:after="0" w:line="311" w:lineRule="auto"/>
        <w:rPr>
          <w:sz w:val="20"/>
          <w:szCs w:val="20"/>
          <w:color w:val="auto"/>
        </w:rPr>
      </w:pPr>
      <w:r>
        <w:rPr>
          <w:rFonts w:ascii="Arial" w:cs="Arial" w:eastAsia="Arial" w:hAnsi="Arial"/>
          <w:sz w:val="16"/>
          <w:szCs w:val="16"/>
          <w:color w:val="auto"/>
        </w:rPr>
        <w:t>The Company recognizes revenue when a customer obtains control of a promised good or service. The amount of revenue recognized reflects consideration that the Company expects to be entitled to receive in exchange for these goods and services, incentives and taxes collected from customers that are subsequently remitted to governmental authorities.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left="60" w:right="59" w:firstLine="648"/>
        <w:spacing w:after="0" w:line="301" w:lineRule="auto"/>
        <w:rPr>
          <w:sz w:val="20"/>
          <w:szCs w:val="20"/>
          <w:color w:val="auto"/>
        </w:rPr>
      </w:pPr>
      <w:r>
        <w:rPr>
          <w:rFonts w:ascii="Arial" w:cs="Arial" w:eastAsia="Arial" w:hAnsi="Arial"/>
          <w:sz w:val="16"/>
          <w:szCs w:val="16"/>
          <w:color w:val="auto"/>
        </w:rPr>
        <w:t>The Company’s customers primarily consist of entities engaged in the life sciences research market that pursue the discovery and development of new drugs for a variety of neurologic, cardiovascular, oncologic and other protein biomarkers associated with diseases. The Company’s customer base includes several of the largest biopharmaceutical companies, academic research organizations and distributors who serve certain geographic markets.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The Company’s products are composed of analyzer instruments, assay kits and other consumables such as reagents. Products are sold directly to biopharmaceutical and academic research organizations or are sold through distributors in EMEA and Asia Pacific regions. The sales of instruments are generally accompanied by an initial year of implied service-type warranties and may be bundled with assays and other consumables and may also include other items such as training and installation of the instrument and/or an extended service warranty. Revenues from the sale of products are recognized at a point in time when the Company transfers control of the product to the customer, which is upon installation for instruments sold to direct customers, and based upon shipping terms for assay kits and other consumables. Revenue for instruments sold to distributors is generally recognized based upon shipping terms (either upon shipment or delivery).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Service and other revenue</w:t>
      </w:r>
    </w:p>
    <w:p>
      <w:pPr>
        <w:spacing w:after="0" w:line="225" w:lineRule="exact"/>
        <w:rPr>
          <w:sz w:val="20"/>
          <w:szCs w:val="20"/>
          <w:color w:val="auto"/>
        </w:rPr>
      </w:pPr>
    </w:p>
    <w:p>
      <w:pPr>
        <w:ind w:left="60" w:right="419" w:firstLine="648"/>
        <w:spacing w:after="0" w:line="311" w:lineRule="auto"/>
        <w:rPr>
          <w:sz w:val="20"/>
          <w:szCs w:val="20"/>
          <w:color w:val="auto"/>
        </w:rPr>
      </w:pPr>
      <w:r>
        <w:rPr>
          <w:rFonts w:ascii="Arial" w:cs="Arial" w:eastAsia="Arial" w:hAnsi="Arial"/>
          <w:sz w:val="16"/>
          <w:szCs w:val="16"/>
          <w:color w:val="auto"/>
        </w:rPr>
        <w:t>Service revenues are composed of contract research services, initial implied one-year service-type warranties, extended services contracts and other services such as training. Contract research services are provided through the Company’s Accelerator Laboratory and generally consist of fixed fee contracts. Revenues from contract research</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services are recognized at a point in time when the Company completes and delivers its research report on each individually completed study, or over time if the contractual provisions allow for the collection of transaction consideration for costs incurred plus a reasonable margin through the period of performance of the services. Revenues from service-type warranties are recognized ratably over the contract service period. Revenues from other services are immaterial.</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and license revenue</w:t>
      </w:r>
    </w:p>
    <w:p>
      <w:pPr>
        <w:spacing w:after="0" w:line="266" w:lineRule="exact"/>
        <w:rPr>
          <w:sz w:val="20"/>
          <w:szCs w:val="20"/>
          <w:color w:val="auto"/>
        </w:rPr>
      </w:pPr>
    </w:p>
    <w:p>
      <w:pPr>
        <w:ind w:left="60" w:right="299" w:firstLine="648"/>
        <w:spacing w:after="0" w:line="279" w:lineRule="auto"/>
        <w:rPr>
          <w:sz w:val="20"/>
          <w:szCs w:val="20"/>
          <w:color w:val="auto"/>
        </w:rPr>
      </w:pPr>
      <w:r>
        <w:rPr>
          <w:rFonts w:ascii="Arial" w:cs="Arial" w:eastAsia="Arial" w:hAnsi="Arial"/>
          <w:sz w:val="17"/>
          <w:szCs w:val="17"/>
          <w:color w:val="auto"/>
        </w:rPr>
        <w:t>The Company may enter into agreements to license the intellectual property and know-how associated with its instruments and certain antibodies in exchange for license fees and future royalties (as described below). The license agreements provide the licensee with a right to use the intellectual property with the license fee revenues recognized at a point in time as the underlying license is considered functional intellectual property.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Payment terms</w:t>
      </w:r>
    </w:p>
    <w:p>
      <w:pPr>
        <w:spacing w:after="0" w:line="225"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The Company’s payment terms vary by the type and location of the customer and the products or services offered. Payment from customers is generally required in a term ranging from 30 to 45 days from date of shipment or satisfaction of the performance obligation. The Company does not provide financing arrangements to its customers.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When disaggregating revenue, the Company considered all of the economic factors that may affect its revenues.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tables disaggregate the Company's revenue from contracts with customers by revenue type (in thousands):</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2"/>
              </w:rPr>
              <w:t>June 30, 2021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NA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line="142" w:lineRule="exact"/>
              <w:rPr>
                <w:sz w:val="20"/>
                <w:szCs w:val="20"/>
                <w:color w:val="auto"/>
              </w:rPr>
            </w:pPr>
            <w:r>
              <w:rPr>
                <w:rFonts w:ascii="Arial" w:cs="Arial" w:eastAsia="Arial" w:hAnsi="Arial"/>
                <w:sz w:val="14"/>
                <w:szCs w:val="14"/>
                <w:b w:val="1"/>
                <w:bCs w:val="1"/>
                <w:color w:val="auto"/>
              </w:rPr>
              <w:t>EMEA</w:t>
            </w:r>
          </w:p>
        </w:tc>
        <w:tc>
          <w:tcPr>
            <w:tcW w:w="14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Asia Pacific</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NA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rPr>
              <w:t>EMEA</w:t>
            </w:r>
          </w:p>
        </w:tc>
        <w:tc>
          <w:tcPr>
            <w:tcW w:w="160" w:type="dxa"/>
            <w:vAlign w:val="bottom"/>
          </w:tcPr>
          <w:p>
            <w:pPr>
              <w:spacing w:after="0"/>
              <w:rPr>
                <w:sz w:val="12"/>
                <w:szCs w:val="12"/>
                <w:color w:val="auto"/>
              </w:rPr>
            </w:pPr>
          </w:p>
        </w:tc>
        <w:tc>
          <w:tcPr>
            <w:tcW w:w="92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Asia Pacific</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Product revenues</w:t>
            </w: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Instruments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1,630</w:t>
            </w:r>
          </w:p>
        </w:tc>
        <w:tc>
          <w:tcPr>
            <w:tcW w:w="340" w:type="dxa"/>
            <w:vAlign w:val="bottom"/>
            <w:gridSpan w:val="2"/>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5,878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4,463</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2,458</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12,799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Consumable and other</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products</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3,251</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12,838</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15,723</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6,744</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24,125</w:t>
            </w:r>
          </w:p>
        </w:tc>
        <w:tc>
          <w:tcPr>
            <w:tcW w:w="0" w:type="dxa"/>
            <w:vAlign w:val="bottom"/>
          </w:tcPr>
          <w:p>
            <w:pPr>
              <w:spacing w:after="0"/>
              <w:rPr>
                <w:sz w:val="1"/>
                <w:szCs w:val="1"/>
                <w:color w:val="auto"/>
              </w:rPr>
            </w:pPr>
          </w:p>
        </w:tc>
      </w:tr>
      <w:tr>
        <w:trPr>
          <w:trHeight w:val="250"/>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Totals</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10,934</w:t>
            </w:r>
          </w:p>
        </w:tc>
        <w:tc>
          <w:tcPr>
            <w:tcW w:w="1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4,881</w:t>
            </w:r>
          </w:p>
        </w:tc>
        <w:tc>
          <w:tcPr>
            <w:tcW w:w="140" w:type="dxa"/>
            <w:vAlign w:val="bottom"/>
          </w:tcPr>
          <w:p>
            <w:pPr>
              <w:spacing w:after="0"/>
              <w:rPr>
                <w:sz w:val="21"/>
                <w:szCs w:val="21"/>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18,676</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21,601</w:t>
            </w:r>
          </w:p>
        </w:tc>
        <w:tc>
          <w:tcPr>
            <w:tcW w:w="1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11,207</w:t>
            </w:r>
          </w:p>
        </w:tc>
        <w:tc>
          <w:tcPr>
            <w:tcW w:w="16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36,924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b w:val="1"/>
                <w:bCs w:val="1"/>
                <w:color w:val="auto"/>
                <w:w w:val="89"/>
              </w:rPr>
              <w:t>Service and other revenues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Service-type warranties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3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Research services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Other services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50"/>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Totals</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4,177</w:t>
            </w:r>
          </w:p>
        </w:tc>
        <w:tc>
          <w:tcPr>
            <w:tcW w:w="1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1,393</w:t>
            </w:r>
          </w:p>
        </w:tc>
        <w:tc>
          <w:tcPr>
            <w:tcW w:w="1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5,648</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9,162</w:t>
            </w:r>
          </w:p>
        </w:tc>
        <w:tc>
          <w:tcPr>
            <w:tcW w:w="14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2,743</w:t>
            </w:r>
          </w:p>
        </w:tc>
        <w:tc>
          <w:tcPr>
            <w:tcW w:w="16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12,057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120" w:type="dxa"/>
            <w:vAlign w:val="bottom"/>
          </w:tcPr>
          <w:p>
            <w:pPr>
              <w:spacing w:after="0" w:line="198" w:lineRule="exact"/>
              <w:rPr>
                <w:sz w:val="20"/>
                <w:szCs w:val="20"/>
                <w:color w:val="auto"/>
              </w:rPr>
            </w:pPr>
            <w:r>
              <w:rPr>
                <w:rFonts w:ascii="Arial" w:cs="Arial" w:eastAsia="Arial" w:hAnsi="Arial"/>
                <w:sz w:val="18"/>
                <w:szCs w:val="18"/>
                <w:b w:val="1"/>
                <w:bCs w:val="1"/>
                <w:color w:val="auto"/>
                <w:w w:val="95"/>
              </w:rPr>
              <w:t>Collaboration and license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Collaboration and license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0"/>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Totals</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2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2020</w:t>
            </w: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2"/>
              </w:rPr>
              <w:t>June 30, 2020</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42"/>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NA</w:t>
            </w:r>
          </w:p>
        </w:tc>
        <w:tc>
          <w:tcPr>
            <w:tcW w:w="10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EMEA</w:t>
            </w:r>
          </w:p>
        </w:tc>
        <w:tc>
          <w:tcPr>
            <w:tcW w:w="92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Asia Pacific</w:t>
            </w:r>
          </w:p>
        </w:tc>
        <w:tc>
          <w:tcPr>
            <w:tcW w:w="120" w:type="dxa"/>
            <w:vAlign w:val="bottom"/>
          </w:tcPr>
          <w:p>
            <w:pPr>
              <w:spacing w:after="0"/>
              <w:rPr>
                <w:sz w:val="12"/>
                <w:szCs w:val="12"/>
                <w:color w:val="auto"/>
              </w:rPr>
            </w:pPr>
          </w:p>
        </w:tc>
        <w:tc>
          <w:tcPr>
            <w:tcW w:w="48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NA</w:t>
            </w:r>
          </w:p>
        </w:tc>
        <w:tc>
          <w:tcPr>
            <w:tcW w:w="10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EMEA</w:t>
            </w:r>
          </w:p>
        </w:tc>
        <w:tc>
          <w:tcPr>
            <w:tcW w:w="92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Asia Pacific</w:t>
            </w:r>
          </w:p>
        </w:tc>
        <w:tc>
          <w:tcPr>
            <w:tcW w:w="14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Product revenues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2620" w:type="dxa"/>
            <w:vAlign w:val="bottom"/>
          </w:tcPr>
          <w:p>
            <w:pPr>
              <w:ind w:left="20"/>
              <w:spacing w:after="0"/>
              <w:rPr>
                <w:sz w:val="20"/>
                <w:szCs w:val="20"/>
                <w:color w:val="auto"/>
              </w:rPr>
            </w:pPr>
            <w:r>
              <w:rPr>
                <w:rFonts w:ascii="Arial" w:cs="Arial" w:eastAsia="Arial" w:hAnsi="Arial"/>
                <w:sz w:val="18"/>
                <w:szCs w:val="18"/>
                <w:color w:val="auto"/>
              </w:rPr>
              <w:t>Instruments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1,220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1,009</w:t>
            </w:r>
          </w:p>
        </w:tc>
        <w:tc>
          <w:tcPr>
            <w:tcW w:w="140" w:type="dxa"/>
            <w:vAlign w:val="bottom"/>
          </w:tcPr>
          <w:p>
            <w:pPr>
              <w:spacing w:after="0"/>
              <w:rPr>
                <w:sz w:val="18"/>
                <w:szCs w:val="18"/>
                <w:color w:val="auto"/>
              </w:rPr>
            </w:pPr>
          </w:p>
        </w:tc>
        <w:tc>
          <w:tcPr>
            <w:tcW w:w="440" w:type="dxa"/>
            <w:vAlign w:val="bottom"/>
          </w:tcPr>
          <w:p>
            <w:pPr>
              <w:jc w:val="right"/>
              <w:ind w:right="253"/>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6"/>
              </w:rPr>
              <w:t>535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2,764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2,973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1,735</w:t>
            </w:r>
          </w:p>
        </w:tc>
        <w:tc>
          <w:tcPr>
            <w:tcW w:w="16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1,744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6,452</w:t>
            </w: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Consumable and other products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1,734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1,897</w:t>
            </w: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395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4,026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4,658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4,601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10,171</w:t>
            </w:r>
          </w:p>
        </w:tc>
      </w:tr>
      <w:tr>
        <w:trPr>
          <w:trHeight w:val="249"/>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2,954</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2,906</w:t>
            </w:r>
          </w:p>
        </w:tc>
        <w:tc>
          <w:tcPr>
            <w:tcW w:w="1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930</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6,790</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7,631</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6,336</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16,623</w:t>
            </w:r>
          </w:p>
        </w:tc>
      </w:tr>
      <w:tr>
        <w:trPr>
          <w:trHeight w:val="197"/>
        </w:trPr>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6"/>
        </w:trPr>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Service and other revenues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Service-type warranties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r>
      <w:tr>
        <w:trPr>
          <w:trHeight w:val="216"/>
        </w:trPr>
        <w:tc>
          <w:tcPr>
            <w:tcW w:w="2620" w:type="dxa"/>
            <w:vAlign w:val="bottom"/>
          </w:tcPr>
          <w:p>
            <w:pPr>
              <w:ind w:left="20"/>
              <w:spacing w:after="0"/>
              <w:rPr>
                <w:sz w:val="20"/>
                <w:szCs w:val="20"/>
                <w:color w:val="auto"/>
              </w:rPr>
            </w:pPr>
            <w:r>
              <w:rPr>
                <w:rFonts w:ascii="Arial" w:cs="Arial" w:eastAsia="Arial" w:hAnsi="Arial"/>
                <w:sz w:val="18"/>
                <w:szCs w:val="18"/>
                <w:color w:val="auto"/>
              </w:rPr>
              <w:t>Research services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4,394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4,982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8,061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9,269</w:t>
            </w: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services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49"/>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5,200</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6,317</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9,846</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1,486</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12,079</w:t>
            </w:r>
          </w:p>
        </w:tc>
      </w:tr>
      <w:tr>
        <w:trPr>
          <w:trHeight w:val="197"/>
        </w:trPr>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98"/>
        </w:trPr>
        <w:tc>
          <w:tcPr>
            <w:tcW w:w="262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Collaboration and license</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4"/>
        </w:trPr>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Collaboration and license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10"/>
        </w:trPr>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Totals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0"/>
        </w:trPr>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The Company’s contracts with customers may include promises to transfer multiple products and services to a customer. The Company combines any performance obligations that are immaterial with one or more other performance obligations that are material to the contract. For arrangements with multiple performance obligations, the Company allocates the contract transaction price, including discounts, to each performance obligation based on its relative standalone selling price. Judgment is required to determine the standalone selling price for each distinct performance obligation. The Company determines standalone selling prices based on prices charged to customers in observable transactions, and uses a range of amounts to estimate standalone selling prices for each performance obligation. The Company may have more than one range of standalone selling price for certain products and services based on the pricing for different customer classes.</w:t>
      </w:r>
    </w:p>
    <w:p>
      <w:pPr>
        <w:spacing w:after="0" w:line="165"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Variable consideration in the Company’s contracts primarily relates to (i) sales- and usage-based royalties related to the license of intellectual property in collaboration and license contracts and (ii) certain non-fixed fee research services contracts. ASC 606 provides for an exception to estimating the variable consideration for sales- and usage-based royalties related to the license of intellectual property, such that the sales- and usage-based royalty will be recognized in the period the underlying transaction occurs. The Company recognizes revenue from sales- and usage-based royalty revenue at the later of when the sale or usage occurs and the satisfaction or partial satisfaction of the performance obligation to which the royalty has been allocated.</w:t>
      </w:r>
    </w:p>
    <w:p>
      <w:pPr>
        <w:spacing w:after="0" w:line="177" w:lineRule="exact"/>
        <w:rPr>
          <w:sz w:val="20"/>
          <w:szCs w:val="20"/>
          <w:color w:val="auto"/>
        </w:rPr>
      </w:pPr>
    </w:p>
    <w:p>
      <w:pPr>
        <w:ind w:left="60" w:right="419" w:firstLine="648"/>
        <w:spacing w:after="0" w:line="286" w:lineRule="auto"/>
        <w:rPr>
          <w:sz w:val="20"/>
          <w:szCs w:val="20"/>
          <w:color w:val="auto"/>
        </w:rPr>
      </w:pPr>
      <w:r>
        <w:rPr>
          <w:rFonts w:ascii="Arial" w:cs="Arial" w:eastAsia="Arial" w:hAnsi="Arial"/>
          <w:sz w:val="16"/>
          <w:szCs w:val="16"/>
          <w:color w:val="auto"/>
        </w:rPr>
        <w:t>The aggregate amount of transaction price that is allocated to performance obligations that have not yet been satisfied or are partially satisfied as of June 30, 2021 and 2020 is $6.9 million and $5.4 million, respectively. As of June 30, 2021, of the performance obligations not yet satisfied or partially satisfied, $6.1 million is expected to be recognized as revenue in the next 12 months, with the remainder to be recognized within the 24 months thereafter. The</w:t>
      </w:r>
    </w:p>
    <w:p>
      <w:pPr>
        <w:spacing w:after="0" w:line="1" w:lineRule="exact"/>
        <w:rPr>
          <w:sz w:val="20"/>
          <w:szCs w:val="20"/>
          <w:color w:val="auto"/>
        </w:rPr>
      </w:pPr>
    </w:p>
    <w:p>
      <w:pPr>
        <w:jc w:val="both"/>
        <w:ind w:left="60" w:right="79"/>
        <w:spacing w:after="0" w:line="255" w:lineRule="auto"/>
        <w:rPr>
          <w:sz w:val="20"/>
          <w:szCs w:val="20"/>
          <w:color w:val="auto"/>
        </w:rPr>
      </w:pPr>
      <w:r>
        <w:rPr>
          <w:rFonts w:ascii="Arial" w:cs="Arial" w:eastAsia="Arial" w:hAnsi="Arial"/>
          <w:sz w:val="18"/>
          <w:szCs w:val="18"/>
          <w:color w:val="auto"/>
        </w:rPr>
        <w:t>$6.1 million at June 30, 2021 principally consists of amounts billed for undelivered services related to initial and extended service-type warranties and research services, as well as $0.5 million related to undelivered licenses of intellectual property for a diagnostics company (see Note 13).</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deferred revenue from contracts with customers were as follows (in thousands):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-115570</wp:posOffset>
            </wp:positionV>
            <wp:extent cx="451739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17390" cy="146050"/>
                    </a:xfrm>
                    <a:prstGeom prst="rect">
                      <a:avLst/>
                    </a:prstGeom>
                    <a:noFill/>
                  </pic:spPr>
                </pic:pic>
              </a:graphicData>
            </a:graphic>
          </wp:anchor>
        </w:drawing>
      </w:r>
    </w:p>
    <w:p>
      <w:pPr>
        <w:spacing w:after="0" w:line="2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Deferral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6"/>
          <w:szCs w:val="16"/>
          <w:color w:val="auto"/>
        </w:rPr>
        <w:t>Recognition of deferred revenue</w:t>
      </w:r>
    </w:p>
    <w:p>
      <w:pPr>
        <w:spacing w:after="0" w:line="4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Balance at June 30, 2021</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Six Months Ended June 30, 2021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 w:type="dxa"/>
            <w:vAlign w:val="bottom"/>
            <w:tcBorders>
              <w:top w:val="single" w:sz="8" w:color="auto"/>
            </w:tcBorders>
            <w:gridSpan w:val="2"/>
          </w:tcPr>
          <w:p>
            <w:pPr>
              <w:jc w:val="right"/>
              <w:ind w:right="749"/>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5,998</w:t>
            </w: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3,969</w:t>
            </w:r>
          </w:p>
        </w:tc>
      </w:tr>
      <w:tr>
        <w:trPr>
          <w:trHeight w:val="230"/>
        </w:trPr>
        <w:tc>
          <w:tcPr>
            <w:tcW w:w="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w:t>
            </w:r>
          </w:p>
        </w:tc>
      </w:tr>
      <w:tr>
        <w:trPr>
          <w:trHeight w:val="210"/>
        </w:trPr>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4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6,889</w:t>
            </w: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160" w:space="720"/>
            <w:col w:w="3139"/>
          </w:cols>
          <w:pgMar w:left="1440" w:top="517" w:right="1440"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Costs to obtain a contract</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The Company’s sales commissions are generally based on revenues of the Company. The Company has determined that certain commissions paid under its sales incentive programs meet the requirements to be capitalized as they are incremental and would not have occurred absent a customer contract. The change in the balance of costs to obtain a contract are as follows (in thousands):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-130175</wp:posOffset>
            </wp:positionV>
            <wp:extent cx="451739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17390" cy="145415"/>
                    </a:xfrm>
                    <a:prstGeom prst="rect">
                      <a:avLst/>
                    </a:prstGeom>
                    <a:noFill/>
                  </pic:spPr>
                </pic:pic>
              </a:graphicData>
            </a:graphic>
          </wp:anchor>
        </w:drawing>
      </w:r>
    </w:p>
    <w:p>
      <w:pPr>
        <w:spacing w:after="0" w:line="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Deferral of costs to obtain a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6"/>
          <w:szCs w:val="16"/>
          <w:color w:val="auto"/>
        </w:rPr>
        <w:t>Recognition of costs to obtain a contract</w:t>
      </w:r>
    </w:p>
    <w:p>
      <w:pPr>
        <w:spacing w:after="0" w:line="4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Balance at June 30, 2021</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Six Months Ended June 30, 2021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 w:type="dxa"/>
            <w:vAlign w:val="bottom"/>
            <w:tcBorders>
              <w:top w:val="single" w:sz="8" w:color="auto"/>
            </w:tcBorders>
            <w:gridSpan w:val="2"/>
          </w:tcPr>
          <w:p>
            <w:pPr>
              <w:jc w:val="right"/>
              <w:ind w:right="749"/>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248</w:t>
            </w: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r>
      <w:tr>
        <w:trPr>
          <w:trHeight w:val="209"/>
        </w:trPr>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4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80" w:space="720"/>
            <w:col w:w="3019"/>
          </w:cols>
          <w:pgMar w:left="1440" w:top="517" w:right="1440" w:bottom="1440" w:gutter="0" w:footer="0" w:header="0"/>
          <w:type w:val="continuous"/>
        </w:sectPr>
      </w:pPr>
    </w:p>
    <w:p>
      <w:pPr>
        <w:spacing w:after="0" w:line="2"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The Company has classified the balance of capitalized costs to obtain a contract as a component of prepaid expenses and other current assets and classifies the expense as a component of cost of goods sold and selling, general, and administrative expense over the estimated life of the contract. The Company considers potential impairment in these amounts each period.</w:t>
      </w:r>
    </w:p>
    <w:p>
      <w:pPr>
        <w:spacing w:after="0" w:line="187"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ASC 606 provides entities with certain practical expedients and accounting policy elections to minimize the cost and burden of adoption.</w:t>
      </w:r>
    </w:p>
    <w:p>
      <w:pPr>
        <w:spacing w:after="0" w:line="170"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Company does not disclose the value of unsatisfied performance obligations for (i) contracts with original expected length of one year or less and (ii) contracts for which revenue is recognized at the amount to which the Company has the right to invoice for services performed.</w:t>
      </w:r>
    </w:p>
    <w:p>
      <w:pPr>
        <w:spacing w:after="0" w:line="184"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 Company will exclude from its transaction price any amounts collected from customers related to sales and other similar taxes.</w:t>
      </w:r>
    </w:p>
    <w:p>
      <w:pPr>
        <w:spacing w:after="0" w:line="170"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When determining the transaction price of a contract, an adjustment is made if payment from a customer occurs either significantly before or significantly after performance, resulting in a significant financing component. The Company does not assess whether a significant financing component exists if the period between when the Company performs its obligations under the contract and when the customer pays is one year or less. None of the Company’s contracts contained a significant financing component as of June 30, 2021 and 2020, respectively.</w:t>
      </w:r>
    </w:p>
    <w:p>
      <w:pPr>
        <w:spacing w:after="0" w:line="176" w:lineRule="exact"/>
        <w:rPr>
          <w:sz w:val="20"/>
          <w:szCs w:val="20"/>
          <w:color w:val="auto"/>
        </w:rPr>
      </w:pPr>
    </w:p>
    <w:p>
      <w:pPr>
        <w:ind w:left="60" w:right="79" w:firstLine="648"/>
        <w:spacing w:after="0" w:line="342" w:lineRule="auto"/>
        <w:rPr>
          <w:sz w:val="20"/>
          <w:szCs w:val="20"/>
          <w:color w:val="auto"/>
        </w:rPr>
      </w:pPr>
      <w:r>
        <w:rPr>
          <w:rFonts w:ascii="Arial" w:cs="Arial" w:eastAsia="Arial" w:hAnsi="Arial"/>
          <w:sz w:val="16"/>
          <w:szCs w:val="16"/>
          <w:color w:val="auto"/>
        </w:rPr>
        <w:t>The Company has elected to account for the shipping and handling as an activity to fulfill the promise to transfer the product, and therefore will not evaluate whether shipping and handling activities are promised services to its customers.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Grant revenue</w:t>
      </w:r>
    </w:p>
    <w:p>
      <w:pPr>
        <w:spacing w:after="0" w:line="225"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 Company recognizes grant revenue as it performs services under the arrangement when the funding is committed. Revenues and related research and development expenses are presented gross in the consolidated statements of operations as the Company has determined it is the primary obligor under the arrangement relative to the research and development services.</w:t>
      </w:r>
    </w:p>
    <w:p>
      <w:pPr>
        <w:spacing w:after="0" w:line="187"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 xml:space="preserve">Accounting for grants does not fall under ASC 606, as the grantor will not benefit directly from the Company’s expansion or product development. As there is no authoritative guidance under U.S. GAAP on accounting for government assistance to for-profit business entities, the Company has accounted for grants by analogy to International Accounting Standards (IAS) 20, </w:t>
      </w:r>
      <w:r>
        <w:rPr>
          <w:rFonts w:ascii="Arial" w:cs="Arial" w:eastAsia="Arial" w:hAnsi="Arial"/>
          <w:sz w:val="16"/>
          <w:szCs w:val="16"/>
          <w:i w:val="1"/>
          <w:iCs w:val="1"/>
          <w:color w:val="auto"/>
        </w:rPr>
        <w:t>Accounting for Government Grants and Disclosure of Government Assistance</w:t>
      </w:r>
      <w:r>
        <w:rPr>
          <w:rFonts w:ascii="Arial" w:cs="Arial" w:eastAsia="Arial" w:hAnsi="Arial"/>
          <w:sz w:val="16"/>
          <w:szCs w:val="16"/>
          <w:color w:val="auto"/>
        </w:rPr>
        <w:t xml:space="preserve"> (IAS 20).</w:t>
      </w:r>
    </w:p>
    <w:p>
      <w:pPr>
        <w:spacing w:after="0" w:line="157"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Grants to the Company contain both monetary amounts granted related to assets and monetary amounts granted related to income, which are grants other than those related to assets. The grants related to assets are for the expansion and increase of manufacturing capacity. The grants related to income are for additional research and development, as well as other non-asset related scale up costs.</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Under IAS 20, grants related to assets shall be presented in the consolidated balance sheets either by recognizing the grant as deferred income (which is recognized in the consolidated statements of operations on a systematic basis over the useful life of the asset), or by deducting the grant in calculating the carrying amount of the asset (which is recognized in the consolidated statements of operations over the life of the depreciable asset as a reduced depreciation expense). Both methods are acceptable under IAS 20. The Company has elected to record grants related to assets as a deduction in calculating the carrying value of the asset.</w:t>
      </w:r>
    </w:p>
    <w:p>
      <w:pPr>
        <w:spacing w:after="0" w:line="192"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Under IAS 20, grants related to income are presented as part of the consolidated statements of operations, either separately or under a general heading. Both methods are acceptable under IAS 20. The Company has elected to record grants related to income separately on the consolidated statements of operations as grant revenue. The related expenses are recorded within operating expenses.</w:t>
      </w:r>
    </w:p>
    <w:p>
      <w:pPr>
        <w:spacing w:after="0" w:line="187" w:lineRule="exact"/>
        <w:rPr>
          <w:sz w:val="20"/>
          <w:szCs w:val="20"/>
          <w:color w:val="auto"/>
        </w:rPr>
      </w:pPr>
    </w:p>
    <w:p>
      <w:pPr>
        <w:jc w:val="both"/>
        <w:ind w:left="60" w:right="459" w:firstLine="648"/>
        <w:spacing w:after="0" w:line="311" w:lineRule="auto"/>
        <w:rPr>
          <w:sz w:val="20"/>
          <w:szCs w:val="20"/>
          <w:color w:val="auto"/>
        </w:rPr>
      </w:pPr>
      <w:r>
        <w:rPr>
          <w:rFonts w:ascii="Arial" w:cs="Arial" w:eastAsia="Arial" w:hAnsi="Arial"/>
          <w:sz w:val="16"/>
          <w:szCs w:val="16"/>
          <w:color w:val="auto"/>
        </w:rPr>
        <w:t>On June 22, 2020, the Company entered into a workplan 1 award (WP1) with the National Institute of Health (NIH), under the Rapid Acceleration of Diagnostics (RADx) program to assess the feasibility of a novel SARS-CoV-2 antigen detection test using the Company’s Simoa technology. WP1 was complete as of December 31, 2020.</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September 29, 2020, the Company entered into a workplan 2 award (WP2) with the NIH under its RADx</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program. WP2, which has a total award value of $18.2 million, accelerates the continued development, scale-up,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deployment of the novel SARS-CoV-2 antigen detection test using the Company’s Simoa technology. The contract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provides funding to expand assay kit manufacturing capacity and commercial deployment readiness. Release of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$18.2 million of funding under WP2 is based on the achievement of certain milestones, and there is no assurance that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Company can meet all the milestones on a timely basis, if at all. If the Company does not meet all of the milestones, it will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not be able access the full $18.2 million in funding under the contract. During the six months ended June 30, 2021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Company recognized $3.2 million in grant revenue and incurred $2.9 million in research and development expense related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WP2.</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activity under WP2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0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2020</w:t>
            </w:r>
          </w:p>
        </w:tc>
      </w:tr>
      <w:tr>
        <w:trPr>
          <w:trHeight w:val="209"/>
        </w:trPr>
        <w:tc>
          <w:tcPr>
            <w:tcW w:w="4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Total grant revenue from research and development activities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Total proceeds used for assets</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6,865</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proceeds for assets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r>
      <w:tr>
        <w:trPr>
          <w:trHeight w:val="216"/>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grant revenue</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r>
      <w:tr>
        <w:trPr>
          <w:trHeight w:val="21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recognized</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15,804</w:t>
            </w:r>
          </w:p>
        </w:tc>
        <w:tc>
          <w:tcPr>
            <w:tcW w:w="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7,970</w:t>
            </w:r>
          </w:p>
        </w:tc>
      </w:tr>
      <w:tr>
        <w:trPr>
          <w:trHeight w:val="20"/>
        </w:trPr>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96"/>
        </w:trPr>
        <w:tc>
          <w:tcPr>
            <w:tcW w:w="4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recognized</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15,804</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w:t>
            </w: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Total amount accrued</w:t>
            </w:r>
          </w:p>
        </w:tc>
        <w:tc>
          <w:tcPr>
            <w:tcW w:w="280" w:type="dxa"/>
            <w:vAlign w:val="bottom"/>
          </w:tcPr>
          <w:p>
            <w:pPr>
              <w:spacing w:after="0"/>
              <w:rPr>
                <w:sz w:val="18"/>
                <w:szCs w:val="18"/>
                <w:color w:val="auto"/>
              </w:rPr>
            </w:pPr>
          </w:p>
        </w:tc>
        <w:tc>
          <w:tcPr>
            <w:tcW w:w="2100" w:type="dxa"/>
            <w:vAlign w:val="bottom"/>
            <w:gridSpan w:val="2"/>
          </w:tcPr>
          <w:p>
            <w:pPr>
              <w:jc w:val="right"/>
              <w:ind w:right="400"/>
              <w:spacing w:after="0"/>
              <w:rPr>
                <w:sz w:val="20"/>
                <w:szCs w:val="20"/>
                <w:color w:val="auto"/>
              </w:rPr>
            </w:pPr>
            <w:r>
              <w:rPr>
                <w:rFonts w:ascii="Arial" w:cs="Arial" w:eastAsia="Arial" w:hAnsi="Arial"/>
                <w:sz w:val="18"/>
                <w:szCs w:val="18"/>
                <w:color w:val="auto"/>
              </w:rPr>
              <w:t>(2,088)</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(2,968)</w:t>
            </w:r>
          </w:p>
        </w:tc>
      </w:tr>
      <w:tr>
        <w:trPr>
          <w:trHeight w:val="210"/>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received</w:t>
            </w: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13,716</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w:t>
            </w:r>
          </w:p>
        </w:tc>
      </w:tr>
      <w:tr>
        <w:trPr>
          <w:trHeight w:val="20"/>
        </w:trPr>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96"/>
        </w:trPr>
        <w:tc>
          <w:tcPr>
            <w:tcW w:w="4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proceeds received</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r>
      <w:tr>
        <w:trPr>
          <w:trHeight w:val="216"/>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proceeds reasonably assured</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13,198</w:t>
            </w:r>
          </w:p>
        </w:tc>
      </w:tr>
      <w:tr>
        <w:trPr>
          <w:trHeight w:val="21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WP2 grant amount</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18,200</w:t>
            </w:r>
          </w:p>
        </w:tc>
      </w:tr>
      <w:tr>
        <w:trPr>
          <w:trHeight w:val="20"/>
        </w:trPr>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ind w:left="60" w:right="139" w:firstLine="621"/>
        <w:spacing w:after="0" w:line="296" w:lineRule="auto"/>
        <w:rPr>
          <w:sz w:val="20"/>
          <w:szCs w:val="20"/>
          <w:color w:val="auto"/>
        </w:rPr>
      </w:pPr>
      <w:r>
        <w:rPr>
          <w:rFonts w:ascii="Arial" w:cs="Arial" w:eastAsia="Arial" w:hAnsi="Arial"/>
          <w:sz w:val="16"/>
          <w:szCs w:val="16"/>
          <w:color w:val="auto"/>
        </w:rPr>
        <w:t>Basic net loss per common share is calculated by dividing the net loss by the weighted-average number of common shares outstanding during the period, without consideration for potentially dilutive securities. Diluted net loss per share is computed by dividing the net loss by the weighted-average number of common shares and potentially dilutive securities outstanding for the period determined using the treasury-stock and if-converted methods. For purposes of the diluted net loss per share calculation, unvested restricted common stock, restricted stock units, stock options, and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59"/>
        <w:spacing w:after="0" w:line="263" w:lineRule="auto"/>
        <w:rPr>
          <w:sz w:val="20"/>
          <w:szCs w:val="20"/>
          <w:color w:val="auto"/>
        </w:rPr>
      </w:pPr>
      <w:r>
        <w:rPr>
          <w:rFonts w:ascii="Arial" w:cs="Arial" w:eastAsia="Arial" w:hAnsi="Arial"/>
          <w:sz w:val="18"/>
          <w:szCs w:val="18"/>
          <w:color w:val="auto"/>
        </w:rPr>
        <w:t>warrants are considered to be potentially dilutive securities, but are excluded from the calculation of diluted net loss per share because their effect would be anti-dilutive and therefore basic and diluted net loss per share were the same for all periods presented.</w:t>
      </w:r>
    </w:p>
    <w:p>
      <w:pPr>
        <w:spacing w:after="0" w:line="76" w:lineRule="exact"/>
        <w:rPr>
          <w:sz w:val="20"/>
          <w:szCs w:val="20"/>
          <w:color w:val="auto"/>
        </w:rPr>
      </w:pPr>
    </w:p>
    <w:p>
      <w:pPr>
        <w:ind w:left="60" w:right="539" w:firstLine="441"/>
        <w:spacing w:after="0" w:line="342" w:lineRule="auto"/>
        <w:rPr>
          <w:sz w:val="20"/>
          <w:szCs w:val="20"/>
          <w:color w:val="auto"/>
        </w:rPr>
      </w:pPr>
      <w:r>
        <w:rPr>
          <w:rFonts w:ascii="Arial" w:cs="Arial" w:eastAsia="Arial" w:hAnsi="Arial"/>
          <w:sz w:val="16"/>
          <w:szCs w:val="16"/>
          <w:color w:val="auto"/>
        </w:rPr>
        <w:t>The following table sets forth the outstanding potentially dilutive securities that have been excluded in the calculation of diluted net loss per share because to do so would be anti-dilutive (in common stock equivalent shares):</w:t>
      </w: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42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96"/>
              </w:rPr>
              <w:t>June 30,</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 and restricted stock units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572,132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479,996</w:t>
            </w:r>
          </w:p>
        </w:tc>
        <w:tc>
          <w:tcPr>
            <w:tcW w:w="6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2,277,005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2,744,441</w:t>
            </w:r>
          </w:p>
        </w:tc>
        <w:tc>
          <w:tcPr>
            <w:tcW w:w="6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Outstanding common stock warrants</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18"/>
                <w:szCs w:val="18"/>
                <w:color w:val="auto"/>
              </w:rPr>
            </w:pPr>
          </w:p>
        </w:tc>
      </w:tr>
      <w:tr>
        <w:trPr>
          <w:trHeight w:val="209"/>
        </w:trPr>
        <w:tc>
          <w:tcPr>
            <w:tcW w:w="658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2,849,137</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3,234,437</w:t>
            </w:r>
          </w:p>
        </w:tc>
        <w:tc>
          <w:tcPr>
            <w:tcW w:w="60" w:type="dxa"/>
            <w:vAlign w:val="bottom"/>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As of June 30, 2021 and 2020, the Company had an obligation to issue warrants to purchase an additional 93,341 shares of common stock to a vendor if a contract is terminated prior to a minimum purchase commitment being met. No amounts are presented in the table above for this obligation to issue a warrant as the issuance of the warrant is not considered probable.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229"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 xml:space="preserve">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64"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25"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Level 2 inputs are inputs other than quoted prices that are observable for the asset or liability, either directly or indirectly; and</w:t>
      </w:r>
    </w:p>
    <w:p>
      <w:pPr>
        <w:spacing w:after="0" w:line="170"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Level 3 inputs are unobservable inputs that reflect the Company’s own assumptions about the assumptions market participants would use in pricing the asset or liability.</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Fair value measurements as of June 30, 2021 are as follows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3"/>
          </w:tcPr>
          <w:p>
            <w:pPr>
              <w:jc w:val="center"/>
              <w:ind w:left="59"/>
              <w:spacing w:after="0"/>
              <w:rPr>
                <w:sz w:val="20"/>
                <w:szCs w:val="20"/>
                <w:color w:val="auto"/>
              </w:rPr>
            </w:pPr>
            <w:r>
              <w:rPr>
                <w:rFonts w:ascii="Arial" w:cs="Arial" w:eastAsia="Arial" w:hAnsi="Arial"/>
                <w:sz w:val="14"/>
                <w:szCs w:val="14"/>
                <w:b w:val="1"/>
                <w:bCs w:val="1"/>
                <w:color w:val="auto"/>
                <w:w w:val="89"/>
              </w:rPr>
              <w:t>Quoted prices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in active</w:t>
            </w:r>
          </w:p>
        </w:tc>
        <w:tc>
          <w:tcPr>
            <w:tcW w:w="11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2"/>
              </w:rPr>
              <w:t>Significant other</w:t>
            </w:r>
          </w:p>
        </w:tc>
        <w:tc>
          <w:tcPr>
            <w:tcW w:w="1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61"/>
              <w:spacing w:after="0"/>
              <w:rPr>
                <w:sz w:val="20"/>
                <w:szCs w:val="20"/>
                <w:color w:val="auto"/>
              </w:rPr>
            </w:pPr>
            <w:r>
              <w:rPr>
                <w:rFonts w:ascii="Arial" w:cs="Arial" w:eastAsia="Arial" w:hAnsi="Arial"/>
                <w:sz w:val="14"/>
                <w:szCs w:val="14"/>
                <w:b w:val="1"/>
                <w:bCs w:val="1"/>
                <w:color w:val="auto"/>
                <w:w w:val="96"/>
              </w:rPr>
              <w:t>markets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280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inputs (Level 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2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Cash equivalents</w:t>
            </w:r>
          </w:p>
        </w:tc>
        <w:tc>
          <w:tcPr>
            <w:tcW w:w="2940" w:type="dxa"/>
            <w:vAlign w:val="bottom"/>
            <w:gridSpan w:val="3"/>
          </w:tcPr>
          <w:p>
            <w:pPr>
              <w:jc w:val="right"/>
              <w:spacing w:after="0"/>
              <w:rPr>
                <w:sz w:val="20"/>
                <w:szCs w:val="20"/>
                <w:color w:val="auto"/>
              </w:rPr>
            </w:pPr>
            <w:r>
              <w:rPr>
                <w:rFonts w:ascii="Arial" w:cs="Arial" w:eastAsia="Arial" w:hAnsi="Arial"/>
                <w:sz w:val="18"/>
                <w:szCs w:val="18"/>
                <w:color w:val="auto"/>
              </w:rPr>
              <w:t>$ 162,072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162,072</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top w:val="single" w:sz="8" w:color="CCEEFF"/>
              <w:bottom w:val="single" w:sz="8" w:color="CCEEFF"/>
            </w:tcBorders>
            <w:shd w:val="clear" w:color="auto" w:fill="CCEEFF"/>
          </w:tcPr>
          <w:p>
            <w:pPr>
              <w:spacing w:after="0"/>
              <w:rPr>
                <w:sz w:val="18"/>
                <w:szCs w:val="18"/>
                <w:color w:val="auto"/>
              </w:rPr>
            </w:pPr>
          </w:p>
        </w:tc>
        <w:tc>
          <w:tcPr>
            <w:tcW w:w="20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$ 162,072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20" w:type="dxa"/>
            <w:vAlign w:val="bottom"/>
            <w:vMerge w:val="restart"/>
          </w:tcPr>
          <w:p>
            <w:pPr>
              <w:jc w:val="right"/>
              <w:ind w:right="17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Fair value measurements as of December 31, 2020 are as follows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00" w:type="dxa"/>
            <w:vAlign w:val="bottom"/>
            <w:gridSpan w:val="8"/>
          </w:tcPr>
          <w:p>
            <w:pPr>
              <w:jc w:val="center"/>
              <w:ind w:right="540"/>
              <w:spacing w:after="0"/>
              <w:rPr>
                <w:sz w:val="20"/>
                <w:szCs w:val="20"/>
                <w:color w:val="auto"/>
              </w:rPr>
            </w:pPr>
            <w:r>
              <w:rPr>
                <w:rFonts w:ascii="Arial" w:cs="Arial" w:eastAsia="Arial" w:hAnsi="Arial"/>
                <w:sz w:val="14"/>
                <w:szCs w:val="14"/>
                <w:b w:val="1"/>
                <w:bCs w:val="1"/>
                <w:color w:val="auto"/>
                <w:w w:val="89"/>
              </w:rPr>
              <w:t>Quoted prices</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in active</w:t>
            </w:r>
          </w:p>
        </w:tc>
        <w:tc>
          <w:tcPr>
            <w:tcW w:w="40" w:type="dxa"/>
            <w:vAlign w:val="bottom"/>
          </w:tcPr>
          <w:p>
            <w:pPr>
              <w:spacing w:after="0"/>
              <w:rPr>
                <w:sz w:val="12"/>
                <w:szCs w:val="12"/>
                <w:color w:val="auto"/>
              </w:rPr>
            </w:pPr>
          </w:p>
        </w:tc>
        <w:tc>
          <w:tcPr>
            <w:tcW w:w="118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w w:val="92"/>
              </w:rPr>
              <w:t>Significant other</w:t>
            </w:r>
          </w:p>
        </w:tc>
        <w:tc>
          <w:tcPr>
            <w:tcW w:w="140" w:type="dxa"/>
            <w:vAlign w:val="bottom"/>
          </w:tcPr>
          <w:p>
            <w:pPr>
              <w:spacing w:after="0"/>
              <w:rPr>
                <w:sz w:val="12"/>
                <w:szCs w:val="12"/>
                <w:color w:val="auto"/>
              </w:rPr>
            </w:pPr>
          </w:p>
        </w:tc>
        <w:tc>
          <w:tcPr>
            <w:tcW w:w="8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16"/>
              <w:spacing w:after="0"/>
              <w:rPr>
                <w:sz w:val="20"/>
                <w:szCs w:val="20"/>
                <w:color w:val="auto"/>
              </w:rPr>
            </w:pPr>
            <w:r>
              <w:rPr>
                <w:rFonts w:ascii="Arial" w:cs="Arial" w:eastAsia="Arial" w:hAnsi="Arial"/>
                <w:sz w:val="14"/>
                <w:szCs w:val="14"/>
                <w:b w:val="1"/>
                <w:bCs w:val="1"/>
                <w:color w:val="auto"/>
                <w:w w:val="96"/>
              </w:rPr>
              <w:t>markets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right"/>
              <w:ind w:right="114"/>
              <w:spacing w:after="0"/>
              <w:rPr>
                <w:sz w:val="20"/>
                <w:szCs w:val="20"/>
                <w:color w:val="auto"/>
              </w:rPr>
            </w:pPr>
            <w:r>
              <w:rPr>
                <w:rFonts w:ascii="Arial" w:cs="Arial" w:eastAsia="Arial" w:hAnsi="Arial"/>
                <w:sz w:val="14"/>
                <w:szCs w:val="14"/>
                <w:b w:val="1"/>
                <w:bCs w:val="1"/>
                <w:color w:val="auto"/>
              </w:rPr>
              <w:t>observable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48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4"/>
                <w:szCs w:val="14"/>
                <w:color w:val="auto"/>
              </w:rPr>
            </w:pPr>
          </w:p>
        </w:tc>
        <w:tc>
          <w:tcPr>
            <w:tcW w:w="780" w:type="dxa"/>
            <w:vAlign w:val="bottom"/>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inputs (Level 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Cash equivalents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$ 162,048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162,048</w:t>
            </w:r>
          </w:p>
        </w:tc>
        <w:tc>
          <w:tcPr>
            <w:tcW w:w="5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center"/>
              <w:ind w:left="39"/>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$ 162,048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162,048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6. Inventory</w:t>
            </w: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00" w:type="dxa"/>
            <w:vAlign w:val="bottom"/>
          </w:tcPr>
          <w:p>
            <w:pPr>
              <w:ind w:left="640"/>
              <w:spacing w:after="0"/>
              <w:rPr>
                <w:sz w:val="20"/>
                <w:szCs w:val="20"/>
                <w:color w:val="auto"/>
              </w:rPr>
            </w:pPr>
            <w:r>
              <w:rPr>
                <w:rFonts w:ascii="Arial" w:cs="Arial" w:eastAsia="Arial" w:hAnsi="Arial"/>
                <w:sz w:val="18"/>
                <w:szCs w:val="18"/>
                <w:color w:val="auto"/>
              </w:rPr>
              <w:t>Inventory consists of the following (in thousands):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5"/>
          </w:tcPr>
          <w:p>
            <w:pPr>
              <w:ind w:left="260"/>
              <w:spacing w:after="0"/>
              <w:rPr>
                <w:sz w:val="20"/>
                <w:szCs w:val="20"/>
                <w:color w:val="auto"/>
              </w:rPr>
            </w:pPr>
            <w:r>
              <w:rPr>
                <w:rFonts w:ascii="Arial" w:cs="Arial" w:eastAsia="Arial" w:hAnsi="Arial"/>
                <w:sz w:val="14"/>
                <w:szCs w:val="14"/>
                <w:b w:val="1"/>
                <w:bCs w:val="1"/>
                <w:color w:val="auto"/>
              </w:rPr>
              <w:t>June 30,</w:t>
            </w:r>
          </w:p>
        </w:tc>
        <w:tc>
          <w:tcPr>
            <w:tcW w:w="1480" w:type="dxa"/>
            <w:vAlign w:val="bottom"/>
            <w:gridSpan w:val="6"/>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5"/>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gridSpan w:val="3"/>
          </w:tcPr>
          <w:p>
            <w:pPr>
              <w:jc w:val="center"/>
              <w:ind w:right="415"/>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6,573</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4,181</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10,471</w:t>
            </w: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21,225</w:t>
            </w:r>
          </w:p>
        </w:tc>
        <w:tc>
          <w:tcPr>
            <w:tcW w:w="16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14,856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879" w:firstLine="648"/>
        <w:spacing w:after="0" w:line="277" w:lineRule="auto"/>
        <w:rPr>
          <w:sz w:val="20"/>
          <w:szCs w:val="20"/>
          <w:color w:val="auto"/>
        </w:rPr>
      </w:pPr>
      <w:r>
        <w:rPr>
          <w:rFonts w:ascii="Arial" w:cs="Arial" w:eastAsia="Arial" w:hAnsi="Arial"/>
          <w:sz w:val="18"/>
          <w:szCs w:val="18"/>
          <w:color w:val="auto"/>
        </w:rPr>
        <w:t>Inventory comprises commercial instruments, assays, and the materials required to manufacture limited instruments and assays.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Allowance for Credit Losses</w:t>
      </w:r>
    </w:p>
    <w:p>
      <w:pPr>
        <w:spacing w:after="0" w:line="229"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The Company is exposed to credit losses primarily through sales of products and services. The Company’s expected loss allowance methodology for accounts receivable is developed using historical collection experience, current and future economic and market conditions, and a review of the current status of customers’ trade accounts receivable. Due to the short-term nature of such receivables, the estimated accounts receivable that may not be collected is based on aging of the accounts receivable balances.</w:t>
      </w:r>
    </w:p>
    <w:p>
      <w:pPr>
        <w:spacing w:after="0" w:line="188"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Customers are assessed for credit worthiness upfront through a credit review, which includes assessment based on the Company’s analysis of their financial statements when a credit rating is not available. The Company evaluates contract terms and conditions, country, and political risk, and may require prepayment to mitigate risk of loss. Specific allowance amounts are established to record the appropriate provision for customers that have a higher probability of default. The Company monitors changes to the receivables balance on a timely basis, and balances are written off as they are determined to be uncollectable after all collection efforts have been exhausted.</w:t>
      </w:r>
    </w:p>
    <w:p>
      <w:pPr>
        <w:spacing w:after="0" w:line="178"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As of June 30, 2021, the Company’s accounts receivable balance was $15.4 million, net of $0.4 million of allowance for credit losses. The following table provides a roll-forward of the allowance for credit losses for the six months ended June 30, 2021 that is deducted from the amortized cost basis of accounts receivable to present the net amount expected to be collected (in thousands):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Credit loss expense</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charged against allowances</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Recoveries collected</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09"/>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48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0"/>
        </w:trPr>
        <w:tc>
          <w:tcPr>
            <w:tcW w:w="7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Other accrued expenses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accrued expenses consist of the following (in thousands):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960" w:type="dxa"/>
            <w:vAlign w:val="bottom"/>
          </w:tcPr>
          <w:p>
            <w:pPr>
              <w:jc w:val="right"/>
              <w:ind w:right="34"/>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6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r>
      <w:tr>
        <w:trPr>
          <w:trHeight w:val="20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inventory purchases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Accrued property and equipment purchases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royalties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Accrued professional services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797</w:t>
            </w: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development costs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1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other</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r>
      <w:tr>
        <w:trPr>
          <w:trHeight w:val="209"/>
        </w:trPr>
        <w:tc>
          <w:tcPr>
            <w:tcW w:w="6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accrued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w:t>
            </w:r>
          </w:p>
        </w:tc>
      </w:tr>
      <w:tr>
        <w:trPr>
          <w:trHeight w:val="20"/>
        </w:trPr>
        <w:tc>
          <w:tcPr>
            <w:tcW w:w="6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60" w:right="1599" w:hanging="10"/>
        <w:spacing w:after="0" w:line="503" w:lineRule="auto"/>
        <w:tabs>
          <w:tab w:leader="none" w:pos="2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Warrants, stock-based compensation, stock options, restricted stock and restricted stock units Warrants</w:t>
      </w:r>
    </w:p>
    <w:p>
      <w:pPr>
        <w:ind w:left="60" w:right="339" w:firstLine="648"/>
        <w:spacing w:after="0" w:line="263" w:lineRule="auto"/>
        <w:rPr>
          <w:sz w:val="20"/>
          <w:szCs w:val="20"/>
          <w:color w:val="auto"/>
        </w:rPr>
      </w:pPr>
      <w:r>
        <w:rPr>
          <w:rFonts w:ascii="Arial" w:cs="Arial" w:eastAsia="Arial" w:hAnsi="Arial"/>
          <w:sz w:val="18"/>
          <w:szCs w:val="18"/>
          <w:color w:val="auto"/>
        </w:rPr>
        <w:t>On January 20, 2021, 10,000 warrants were exercised by a holder on a net, non-cash basis. Per the terms of the warrant agreement, the Company issued 7,347 shares of common stock with a value equal to the holder’s gain. The Company had no warrants outstanding as of June 30,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Stock-based compensation expense for all stock awards consists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tcBorders>
              <w:bottom w:val="single" w:sz="8" w:color="auto"/>
            </w:tcBorders>
            <w:gridSpan w:val="5"/>
          </w:tcPr>
          <w:p>
            <w:pPr>
              <w:jc w:val="right"/>
              <w:ind w:right="353"/>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9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Cost of service and other revenue</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16"/>
        </w:trPr>
        <w:tc>
          <w:tcPr>
            <w:tcW w:w="2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3,023</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w:t>
            </w:r>
          </w:p>
        </w:tc>
      </w:tr>
      <w:tr>
        <w:trPr>
          <w:trHeight w:val="210"/>
        </w:trPr>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3,650</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3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7,036</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w:t>
            </w:r>
          </w:p>
        </w:tc>
      </w:tr>
      <w:tr>
        <w:trPr>
          <w:trHeight w:val="20"/>
        </w:trPr>
        <w:tc>
          <w:tcPr>
            <w:tcW w:w="2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9" w:firstLine="648"/>
        <w:spacing w:after="0" w:line="279" w:lineRule="auto"/>
        <w:rPr>
          <w:sz w:val="20"/>
          <w:szCs w:val="20"/>
          <w:color w:val="auto"/>
        </w:rPr>
      </w:pPr>
      <w:r>
        <w:rPr>
          <w:rFonts w:ascii="Arial" w:cs="Arial" w:eastAsia="Arial" w:hAnsi="Arial"/>
          <w:sz w:val="17"/>
          <w:szCs w:val="17"/>
          <w:color w:val="auto"/>
        </w:rPr>
        <w:t>In June 2007, the Company adopted the 2007 Stock Option and Grant Plan (the 2007 Plan), under which it could grant incentive stock options, non-qualified options, restricted stock, and stock grants. In connection with the completion of the initial public offering, the Company terminated the 2007 Plan. As of June 30, 2021, options to purchase 728,297 shares were outstanding, and no shares were available for future grant under the 2007 Plan.</w:t>
      </w:r>
    </w:p>
    <w:p>
      <w:pPr>
        <w:spacing w:after="0" w:line="171"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In December 2017, the Company adopted the 2017 Employee, Director and Consultant Equity Incentive Plan (the 2017 Plan), under which it may grant incentive stock options, non-qualified stock options, restricted stock, and other stock-based awards. As of December 31, 2017, the 2017 Plan allowed for the issuance of up to 1,042,314 shares of common stock plus up to 2,490,290 shares of common stock represented by awards granted under the 2007 Plan that are forfeited, expire, or are cancelled without delivery of shares or which result in the forfeiture of shares of common stock back to the Company on or after the date the 2017 Plan became effective. As of June 30, 2021, there were 1,621,476 shares available for grant under the 2017 Plan.</w:t>
      </w:r>
    </w:p>
    <w:p>
      <w:pPr>
        <w:spacing w:after="0" w:line="177"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In addition, the 2017 Plan contains an "evergreen" provision, which allows for an annual increase in the number of shares of common stock available for issuance under the 2017 Plan on the first day of each fiscal year during the period beginning in fiscal year 2019 and ending in fiscal year 2027. The annual increase in the number of shares shall be equal to the lowest of: 4% of the number of shares of common stock outstanding as of such date; and an amount determined by the Company’s Board of Directors or Compensation Committee. On January 1, 2021, the number of shares of common stock available for issuance under the 2017 Plan was automatically increased by 1,273,501 shares.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648"/>
        <w:spacing w:after="0" w:line="263" w:lineRule="auto"/>
        <w:rPr>
          <w:sz w:val="20"/>
          <w:szCs w:val="20"/>
          <w:color w:val="auto"/>
        </w:rPr>
      </w:pPr>
      <w:r>
        <w:rPr>
          <w:rFonts w:ascii="Arial" w:cs="Arial" w:eastAsia="Arial" w:hAnsi="Arial"/>
          <w:sz w:val="18"/>
          <w:szCs w:val="18"/>
          <w:color w:val="auto"/>
        </w:rPr>
        <w:t>In December 2017, the Company adopted the 2017 Employee Stock Purchase Plan (the 2017 ESPP). As of December 31, 2020, the 2017 ESPP allowed for the issuance of up to 848,269 shares of common stock. As of June 30, 2021, 1,149,407 shares were available for grant under the 2017 ESPP.</w:t>
      </w:r>
    </w:p>
    <w:p>
      <w:pPr>
        <w:spacing w:after="0" w:line="184" w:lineRule="exact"/>
        <w:rPr>
          <w:sz w:val="20"/>
          <w:szCs w:val="20"/>
          <w:color w:val="auto"/>
        </w:rPr>
      </w:pPr>
    </w:p>
    <w:p>
      <w:pPr>
        <w:ind w:left="60" w:right="419" w:firstLine="648"/>
        <w:spacing w:after="0" w:line="273" w:lineRule="auto"/>
        <w:rPr>
          <w:sz w:val="20"/>
          <w:szCs w:val="20"/>
          <w:color w:val="auto"/>
        </w:rPr>
      </w:pPr>
      <w:r>
        <w:rPr>
          <w:rFonts w:ascii="Arial" w:cs="Arial" w:eastAsia="Arial" w:hAnsi="Arial"/>
          <w:sz w:val="17"/>
          <w:szCs w:val="17"/>
          <w:color w:val="auto"/>
        </w:rPr>
        <w:t>In addition, the 2017 ESPP contains an "evergreen" provision, which allows for an increase in the number of shares of common stock available for issuance under the 2017 ESPP on the first day of each fiscal year beginning with fiscal year 2018. The increase in the number of shares shall be equal to the lowest of: 1% of the number of shares of common stock outstanding on the last day of the immediately preceding fiscal year or an amount determined by the Company’s Board of Directors or Compensation Committee. The number of shares available for grant under the 2017 ESPP increased by 318,375 shares on January 1, 2021 due to this provision.</w:t>
      </w:r>
    </w:p>
    <w:p>
      <w:pPr>
        <w:spacing w:after="0" w:line="178"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2017 ESPP provides for six-month option periods commencing on March 1 and ending August 31 and commencing September 1 and ending February 28 of each calendar year. The first offering under the 2017 ESPP began on September 1, 2018.</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Under the 2007 Plan and the 2017 Plan, stock options may not be granted with exercise prices of less than fair market value on the date of the grant. Options generally vest ratably over a four-year period with 25% vesting on the first anniversary and the remaining 75% vesting ratably on a monthly basis over the remaining three years. These options expire ten years after the grant date. Activity under the 2007 Plan and the 2017 Plan was as follows: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Weighted-average</w:t>
            </w: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Remaining contractual</w:t>
            </w: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w w:val="92"/>
              </w:rPr>
              <w:t>Aggregate intrinsic value</w:t>
            </w:r>
          </w:p>
        </w:tc>
      </w:tr>
      <w:tr>
        <w:trPr>
          <w:trHeight w:val="171"/>
        </w:trPr>
        <w:tc>
          <w:tcPr>
            <w:tcW w:w="352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life (in years)</w:t>
            </w:r>
          </w:p>
        </w:tc>
        <w:tc>
          <w:tcPr>
            <w:tcW w:w="220" w:type="dxa"/>
            <w:vAlign w:val="bottom"/>
          </w:tcPr>
          <w:p>
            <w:pPr>
              <w:spacing w:after="0"/>
              <w:rPr>
                <w:sz w:val="14"/>
                <w:szCs w:val="14"/>
                <w:color w:val="auto"/>
              </w:rPr>
            </w:pPr>
          </w:p>
        </w:tc>
        <w:tc>
          <w:tcPr>
            <w:tcW w:w="1340" w:type="dxa"/>
            <w:vAlign w:val="bottom"/>
          </w:tcPr>
          <w:p>
            <w:pPr>
              <w:jc w:val="right"/>
              <w:ind w:right="254"/>
              <w:spacing w:after="0"/>
              <w:rPr>
                <w:sz w:val="20"/>
                <w:szCs w:val="20"/>
                <w:color w:val="auto"/>
              </w:rPr>
            </w:pPr>
            <w:r>
              <w:rPr>
                <w:rFonts w:ascii="Arial" w:cs="Arial" w:eastAsia="Arial" w:hAnsi="Arial"/>
                <w:sz w:val="14"/>
                <w:szCs w:val="14"/>
                <w:b w:val="1"/>
                <w:bCs w:val="1"/>
                <w:color w:val="auto"/>
              </w:rPr>
              <w:t>(in thousands)</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2,494,045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71,760</w:t>
            </w:r>
          </w:p>
        </w:tc>
      </w:tr>
      <w:tr>
        <w:trPr>
          <w:trHeight w:val="216"/>
        </w:trPr>
        <w:tc>
          <w:tcPr>
            <w:tcW w:w="3520" w:type="dxa"/>
            <w:vAlign w:val="bottom"/>
          </w:tcPr>
          <w:p>
            <w:pPr>
              <w:ind w:left="12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295,241</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68.49</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(392,379)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352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(119,902)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33.67</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2,277,005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82,090</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w w:val="95"/>
              </w:rPr>
              <w:t>Vested and expected to vest at June 30, 2021</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2,277,005</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24.13</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7.12</w:t>
            </w:r>
          </w:p>
        </w:tc>
        <w:tc>
          <w:tcPr>
            <w:tcW w:w="1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82,090</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2021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1,410,504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62,395</w:t>
            </w:r>
          </w:p>
        </w:tc>
      </w:tr>
    </w:tbl>
    <w:p>
      <w:pPr>
        <w:spacing w:after="0" w:line="202"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Using the Black-Scholes option pricing model, the weighted-average fair value of options granted to employees and directors during the six months ended June 30, 2021 and 2020 was $32.30 and $11.76 per share, respectively. The expense related to awards granted to employees was $1.5 million and $3.0 million for the three and six months ended June 30, 2021, respectively. The expense related to awards granted to employees was $1.3 million and $2.4 million for the three and six months ended June 30, 2020, respectively. The intrinsic value of stock options exercised was $3.9 million and $20.2 million for the three and six months ended June 30, 2021, respectively. The intrinsic value of stock options exercised was $1.7 million and $2.7 million for the three and six months ended June 30, 2020, respectively. Activity related to non-employee awards was not material to the three and six months ended June 30, 2021 and 2020.</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Restricted common stock awards represent shares of common stock issued to employees subject to forfeiture if the vesting conditions are not satisfied. Vesting occurs periodically at specified time intervals and specified percentages. No restricted common stock awards were granted or vested during the three and six months ended June 30, 2021. As of June 30, 2021, the Company had 39,806 shares of unvested restricted common stock with a weighted average grant date fair value of $3.12 per share.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left="60" w:right="279" w:firstLine="648"/>
        <w:spacing w:after="0" w:line="311" w:lineRule="auto"/>
        <w:rPr>
          <w:sz w:val="20"/>
          <w:szCs w:val="20"/>
          <w:color w:val="auto"/>
        </w:rPr>
      </w:pPr>
      <w:r>
        <w:rPr>
          <w:rFonts w:ascii="Arial" w:cs="Arial" w:eastAsia="Arial" w:hAnsi="Arial"/>
          <w:sz w:val="16"/>
          <w:szCs w:val="16"/>
          <w:color w:val="auto"/>
        </w:rPr>
        <w:t>Restricted stock units (RSUs) represent the right to receive shares of common stock upon meeting specified vesting requirements. In the six months ended June 30, 2021, the Company issued 234,426 RSUs to employees of the Company under the 2017 Plan. Under the terms of the agreements, 161,039 of the RSUs issued are subject to a four-year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vesting schedule with 25% vesting on the first anniversary of the grant date and the remaining vesting 75% ratably on</w:t>
      </w:r>
    </w:p>
    <w:p>
      <w:pPr>
        <w:spacing w:after="0" w:line="35" w:lineRule="exact"/>
        <w:rPr>
          <w:sz w:val="20"/>
          <w:szCs w:val="20"/>
          <w:color w:val="auto"/>
        </w:rPr>
      </w:pPr>
    </w:p>
    <w:p>
      <w:pPr>
        <w:ind w:left="60" w:right="79"/>
        <w:spacing w:after="0" w:line="292" w:lineRule="auto"/>
        <w:rPr>
          <w:sz w:val="20"/>
          <w:szCs w:val="20"/>
          <w:color w:val="auto"/>
        </w:rPr>
      </w:pPr>
      <w:r>
        <w:rPr>
          <w:rFonts w:ascii="Arial" w:cs="Arial" w:eastAsia="Arial" w:hAnsi="Arial"/>
          <w:sz w:val="16"/>
          <w:szCs w:val="16"/>
          <w:color w:val="auto"/>
        </w:rPr>
        <w:t>a monthly basis over the remaining three years; 53,119 of the RSUs are subject to a three-year vesting schedule with 33% vesting on the first anniversary of the grant date and the remaining vesting ratably on a monthly basis over the remaining two years; 4,540 of the RSUs are subject to a three-year vesting schedule with 33% vesting on the first anniversary of the grant date with the remaining vesting annually on the anniversary of the grant date over the remaining two years; 13,620 of the RSUs vest on December 31, 2021; and 2,108 vested immediately upon grant. A summary of RSU activity is as follows:</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7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66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Unvested RSUs as of December 31, 2020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16"/>
        </w:trPr>
        <w:tc>
          <w:tcPr>
            <w:tcW w:w="6640" w:type="dxa"/>
            <w:vAlign w:val="bottom"/>
          </w:tcPr>
          <w:p>
            <w:pPr>
              <w:ind w:left="10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234,426</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67.11</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(133,732)</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Cancelled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(46,949)</w:t>
            </w:r>
          </w:p>
        </w:tc>
        <w:tc>
          <w:tcPr>
            <w:tcW w:w="400" w:type="dxa"/>
            <w:vAlign w:val="bottom"/>
            <w:tcBorders>
              <w:bottom w:val="single" w:sz="8" w:color="CCEEFF"/>
            </w:tcBorders>
            <w:gridSpan w:val="2"/>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RSUs as of June 30, 2021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532,326</w:t>
            </w:r>
          </w:p>
        </w:tc>
        <w:tc>
          <w:tcPr>
            <w:tcW w:w="400" w:type="dxa"/>
            <w:vAlign w:val="bottom"/>
            <w:tcBorders>
              <w:bottom w:val="single" w:sz="8" w:color="CCEEFF"/>
            </w:tcBorders>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179" w:firstLine="648"/>
        <w:spacing w:after="0" w:line="286" w:lineRule="auto"/>
        <w:rPr>
          <w:sz w:val="20"/>
          <w:szCs w:val="20"/>
          <w:color w:val="auto"/>
        </w:rPr>
      </w:pPr>
      <w:r>
        <w:rPr>
          <w:rFonts w:ascii="Arial" w:cs="Arial" w:eastAsia="Arial" w:hAnsi="Arial"/>
          <w:sz w:val="17"/>
          <w:szCs w:val="17"/>
          <w:color w:val="auto"/>
        </w:rPr>
        <w:t>The expense related to awards granted to employees and directors was $2.0 million and $3.7 million for the three and six months ended June 30, 2021, respectively. The expense related to awards granted to employees and directors was $1.1 million and $2.0 million for the three and six months ended June 30, 2020, respectively.</w:t>
      </w:r>
    </w:p>
    <w:p>
      <w:pPr>
        <w:spacing w:after="0" w:line="165" w:lineRule="exact"/>
        <w:rPr>
          <w:sz w:val="20"/>
          <w:szCs w:val="20"/>
          <w:color w:val="auto"/>
        </w:rPr>
      </w:pPr>
    </w:p>
    <w:p>
      <w:pPr>
        <w:ind w:left="60" w:right="219" w:firstLine="648"/>
        <w:spacing w:after="0" w:line="308" w:lineRule="auto"/>
        <w:rPr>
          <w:sz w:val="20"/>
          <w:szCs w:val="20"/>
          <w:color w:val="auto"/>
        </w:rPr>
      </w:pPr>
      <w:r>
        <w:rPr>
          <w:rFonts w:ascii="Arial" w:cs="Arial" w:eastAsia="Arial" w:hAnsi="Arial"/>
          <w:sz w:val="17"/>
          <w:szCs w:val="17"/>
          <w:color w:val="auto"/>
        </w:rPr>
        <w:t>As of June 30, 2021, there was $22.2 million of total unrecognized compensation cost related to unvested RSUs, which is expected to be recognized over the remaining weighted-average vesting period of 3.0 years.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 Company is a lessee under leases of offices, lab spaces, and certain office equipment. Some of the Company’s leases include options to extend the lease, and these options are included in the lease term to the extent they are reasonably certain to be exercised.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all lease costs recognized under ASC 842</w:t>
      </w:r>
    </w:p>
    <w:p>
      <w:pPr>
        <w:spacing w:after="0" w:line="229" w:lineRule="exact"/>
        <w:rPr>
          <w:sz w:val="20"/>
          <w:szCs w:val="20"/>
          <w:color w:val="auto"/>
        </w:rPr>
      </w:pPr>
    </w:p>
    <w:p>
      <w:pPr>
        <w:ind w:left="60" w:right="539" w:firstLine="648"/>
        <w:spacing w:after="0" w:line="342" w:lineRule="auto"/>
        <w:rPr>
          <w:sz w:val="20"/>
          <w:szCs w:val="20"/>
          <w:color w:val="auto"/>
        </w:rPr>
      </w:pPr>
      <w:r>
        <w:rPr>
          <w:rFonts w:ascii="Arial" w:cs="Arial" w:eastAsia="Arial" w:hAnsi="Arial"/>
          <w:sz w:val="16"/>
          <w:szCs w:val="16"/>
          <w:color w:val="auto"/>
        </w:rPr>
        <w:t>The following table contains a summary of the lease costs recognized under ASC 842 and other information pertaining to the Company’s operating leases for the three and six months ended June 30, 2021 and 2020:</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214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201"/>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leases (in thousands)</w:t>
            </w:r>
          </w:p>
        </w:tc>
        <w:tc>
          <w:tcPr>
            <w:tcW w:w="120" w:type="dxa"/>
            <w:vAlign w:val="bottom"/>
          </w:tcPr>
          <w:p>
            <w:pPr>
              <w:spacing w:after="0"/>
              <w:rPr>
                <w:sz w:val="17"/>
                <w:szCs w:val="17"/>
                <w:color w:val="auto"/>
              </w:rPr>
            </w:pPr>
          </w:p>
        </w:tc>
        <w:tc>
          <w:tcPr>
            <w:tcW w:w="7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Costs (1)</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Operating lease costs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5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lease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5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ind w:left="20"/>
              <w:spacing w:after="0"/>
              <w:rPr>
                <w:sz w:val="20"/>
                <w:szCs w:val="20"/>
                <w:color w:val="auto"/>
              </w:rPr>
            </w:pPr>
            <w:r>
              <w:rPr>
                <w:rFonts w:ascii="Arial" w:cs="Arial" w:eastAsia="Arial" w:hAnsi="Arial"/>
                <w:sz w:val="18"/>
                <w:szCs w:val="18"/>
                <w:color w:val="auto"/>
              </w:rPr>
              <w:t>Other information</w:t>
            </w: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cash flows used for operating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4240" w:type="dxa"/>
            <w:vAlign w:val="bottom"/>
            <w:gridSpan w:val="2"/>
          </w:tcPr>
          <w:p>
            <w:pPr>
              <w:ind w:left="220"/>
              <w:spacing w:after="0"/>
              <w:rPr>
                <w:sz w:val="20"/>
                <w:szCs w:val="20"/>
                <w:color w:val="auto"/>
              </w:rPr>
            </w:pPr>
            <w:r>
              <w:rPr>
                <w:rFonts w:ascii="Arial" w:cs="Arial" w:eastAsia="Arial" w:hAnsi="Arial"/>
                <w:sz w:val="18"/>
                <w:szCs w:val="18"/>
                <w:color w:val="auto"/>
              </w:rPr>
              <w:t>Weighted average remaining lease term (years)</w:t>
            </w:r>
          </w:p>
        </w:tc>
        <w:tc>
          <w:tcPr>
            <w:tcW w:w="120" w:type="dxa"/>
            <w:vAlign w:val="bottom"/>
          </w:tcPr>
          <w:p>
            <w:pPr>
              <w:spacing w:after="0"/>
              <w:rPr>
                <w:sz w:val="18"/>
                <w:szCs w:val="18"/>
                <w:color w:val="auto"/>
              </w:rPr>
            </w:pP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w w:val="89"/>
              </w:rPr>
              <w:t>9.6 years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ind w:left="420"/>
              <w:spacing w:after="0"/>
              <w:rPr>
                <w:sz w:val="20"/>
                <w:szCs w:val="20"/>
                <w:color w:val="auto"/>
              </w:rPr>
            </w:pPr>
            <w:r>
              <w:rPr>
                <w:rFonts w:ascii="Arial" w:cs="Arial" w:eastAsia="Arial" w:hAnsi="Arial"/>
                <w:sz w:val="18"/>
                <w:szCs w:val="18"/>
                <w:color w:val="auto"/>
              </w:rPr>
              <w:t>9.6 years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Weighted average discount rate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319" w:firstLine="638"/>
        <w:spacing w:after="0" w:line="277" w:lineRule="auto"/>
        <w:tabs>
          <w:tab w:leader="none" w:pos="963" w:val="left"/>
        </w:tabs>
        <w:numPr>
          <w:ilvl w:val="0"/>
          <w:numId w:val="4"/>
        </w:numPr>
        <w:rPr>
          <w:rFonts w:ascii="Arial" w:cs="Arial" w:eastAsia="Arial" w:hAnsi="Arial"/>
          <w:sz w:val="18"/>
          <w:szCs w:val="18"/>
          <w:color w:val="auto"/>
        </w:rPr>
      </w:pPr>
      <w:r>
        <w:rPr>
          <w:rFonts w:ascii="Arial" w:cs="Arial" w:eastAsia="Arial" w:hAnsi="Arial"/>
          <w:sz w:val="18"/>
          <w:szCs w:val="18"/>
          <w:color w:val="auto"/>
        </w:rPr>
        <w:t>Short-term lease costs and variable lease costs incurred by the Company for the three and six months ended June 30, 2021 and 2020 were not material.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6219" w:hanging="10"/>
        <w:spacing w:after="0" w:line="503" w:lineRule="auto"/>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Tufts University</w:t>
      </w:r>
    </w:p>
    <w:p>
      <w:pPr>
        <w:ind w:left="60" w:right="99" w:firstLine="648"/>
        <w:spacing w:after="0" w:line="289" w:lineRule="auto"/>
        <w:rPr>
          <w:sz w:val="20"/>
          <w:szCs w:val="20"/>
          <w:color w:val="auto"/>
        </w:rPr>
      </w:pPr>
      <w:r>
        <w:rPr>
          <w:rFonts w:ascii="Arial" w:cs="Arial" w:eastAsia="Arial" w:hAnsi="Arial"/>
          <w:sz w:val="16"/>
          <w:szCs w:val="16"/>
          <w:color w:val="auto"/>
        </w:rPr>
        <w:t>In June 2007, the Company entered into a license agreement (the License Agreement) for certain intellectual property with Tufts University (Tufts). Tufts is a related party to the Company due to Tufts’ equity ownership in the Company and because a member of the Company’s Board of Directors was affiliated with Tufts. The License Agreement, which was subsequently amended, is exclusive and sublicensable, and will continue in effect on a country-by-country basis as long as there is a valid claim of a licensed patent in a country. The Company is committed to pay license and maintenance fees, prior to commercialization, in addition to low single digit royalties on direct sales and services and a royalty on sublicense income. During the three months ended June 30, 2021 and 2020 and the six months ended June 30, 2021 and 2020, the Company recorded royalty expense of $0.4 million, $0.2 million, $0.8 million, and $0.4 million, respectively, in cost of product revenue on the consolidated statements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Supply agreement</w:t>
      </w:r>
    </w:p>
    <w:p>
      <w:pPr>
        <w:spacing w:after="0" w:line="229" w:lineRule="exact"/>
        <w:rPr>
          <w:sz w:val="20"/>
          <w:szCs w:val="20"/>
          <w:color w:val="auto"/>
        </w:rPr>
      </w:pPr>
    </w:p>
    <w:p>
      <w:pPr>
        <w:ind w:left="60" w:right="399" w:firstLine="648"/>
        <w:spacing w:after="0" w:line="259" w:lineRule="auto"/>
        <w:rPr>
          <w:sz w:val="20"/>
          <w:szCs w:val="20"/>
          <w:color w:val="auto"/>
        </w:rPr>
      </w:pPr>
      <w:r>
        <w:rPr>
          <w:rFonts w:ascii="Arial" w:cs="Arial" w:eastAsia="Arial" w:hAnsi="Arial"/>
          <w:sz w:val="18"/>
          <w:szCs w:val="18"/>
          <w:color w:val="auto"/>
        </w:rPr>
        <w:t>The Company’s supply agreement with STRATEC Biomedical required the Company to purchase a minimum number of commercial units over a seven-year period that ended in May 2021. Based on the number of commercial instruments purchased as of June 30, 2021, the Company has satisfied its required minimum purchase amount per the supply agreement.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contingencies</w:t>
      </w:r>
    </w:p>
    <w:p>
      <w:pPr>
        <w:spacing w:after="0" w:line="229"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the results of its operations. The Company accrues for contingent liabilities to the extent that the liability is probable and estimable.</w:t>
      </w:r>
    </w:p>
    <w:p>
      <w:pPr>
        <w:spacing w:after="0" w:line="183" w:lineRule="exact"/>
        <w:rPr>
          <w:sz w:val="20"/>
          <w:szCs w:val="20"/>
          <w:color w:val="auto"/>
        </w:rPr>
      </w:pPr>
    </w:p>
    <w:p>
      <w:pPr>
        <w:ind w:left="60" w:right="7619" w:hanging="10"/>
        <w:spacing w:after="0" w:line="603" w:lineRule="auto"/>
        <w:tabs>
          <w:tab w:leader="none" w:pos="33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Notes payable Loan agreement</w:t>
      </w:r>
    </w:p>
    <w:p>
      <w:pPr>
        <w:spacing w:after="0" w:line="1"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On April 14, 2014, the Company executed a loan agreement with a lender, as subsequently amended. As of June 30, 2021, there were no additional amounts available to borrow under the debt facility. The interest rate on this term loan is variable based on the greater of 8% or 8% plus the prime rate less 5.25%. Interest is paid monthly beginning the month following the borrowing date. At loan inception and in connection with the amendments, the Company issued the lender warrants to purchase shares of stock. The loan agreement also contains prepayment penalties and an end of term charge. Fees incurred upon execution of the agreements, and the fair value of warrants on the date of grant were accounted for as a reduction in the book value of debt and accreted through interest expense, using the effective interest rate method, over the term of the debt. Under the amended agreement, the Company is required to pay the loan principal in four equal installments starting July 1, 2021, with the final payment and end of term charge to be made on October 1, 2021.</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June 30, 2021, debt payment obligations due based on principal payments are as follows (in thousands):</w:t>
      </w:r>
    </w:p>
    <w:p>
      <w:pPr>
        <w:spacing w:after="0" w:line="276"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gridSpan w:val="2"/>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w:t>
            </w:r>
          </w:p>
        </w:tc>
      </w:tr>
      <w:tr>
        <w:trPr>
          <w:trHeight w:val="210"/>
        </w:trPr>
        <w:tc>
          <w:tcPr>
            <w:tcW w:w="6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7,688</w:t>
            </w: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Non-cash interest expense related to debt discount amortization and accretion of end of term fees was $0.1 million or less for each of the three and six months ended June 30, 2021 and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Collaboration and license arrangements</w:t>
      </w:r>
    </w:p>
    <w:p>
      <w:pPr>
        <w:spacing w:after="0" w:line="202"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The Company has entered into certain licenses with other companies for use of the Company’s technology. These licenses have royalty components which the Company earns and recognizes as collaboration and license revenue throughout the year. The Company recognized revenue of $0.1 million and $0.4 million for the three and six months ended June 30, 2021, respectively, and less than $0.1 million and $0.2 million for the three and six months ended June 30, 2020, respectively, associated with these licenses.</w:t>
      </w:r>
    </w:p>
    <w:p>
      <w:pPr>
        <w:spacing w:after="0" w:line="188" w:lineRule="exact"/>
        <w:rPr>
          <w:sz w:val="20"/>
          <w:szCs w:val="20"/>
          <w:color w:val="auto"/>
        </w:rPr>
      </w:pPr>
    </w:p>
    <w:p>
      <w:pPr>
        <w:ind w:left="60" w:right="659" w:firstLine="648"/>
        <w:spacing w:after="0" w:line="277" w:lineRule="auto"/>
        <w:rPr>
          <w:sz w:val="20"/>
          <w:szCs w:val="20"/>
          <w:color w:val="auto"/>
        </w:rPr>
      </w:pPr>
      <w:r>
        <w:rPr>
          <w:rFonts w:ascii="Arial" w:cs="Arial" w:eastAsia="Arial" w:hAnsi="Arial"/>
          <w:sz w:val="18"/>
          <w:szCs w:val="18"/>
          <w:color w:val="auto"/>
        </w:rPr>
        <w:t>As of June 30, 2021 and December 31, 2020, the Company had $0.5 million of deferred revenue related to ongoing negotiations with a diagnostics company.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Abbott Laboratories</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 xml:space="preserve">On September 29, 2020, the Company entered into a Non-Exclusive License Agreement (the Abbott License Agreement) with Abbott Laboratories (Abbott). Pursuant to the terms of the Abbott License Agreement, the Company granted Abbott a non-exclusive, worldwide, royalty-bearing license, without the right to sublicense, under the Company’s bead-based single molecule detection patents (Licensed Patents) in the field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diagnostics. Abbott agreed to pay the Company an initial license fee of $10.0 million in connection with the execution of the Abbott License Agreement, which was recognized as license revenue during the 2020 fiscal year. Abbott has also agreed to pay the Company milestone fees subject to the achievement by Abbott of certain development, regulatory and commercialization milestones and low single-digit royalties on net sales of licensed products.</w:t>
      </w:r>
    </w:p>
    <w:p>
      <w:pPr>
        <w:spacing w:after="0" w:line="178"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Abbott License Agreement includes customary representations and warranties, covenants and indemnification obligations for a transaction of this nature. The Abbott License Agreement became effective upon signing and will continue until expiration of the last-to-expire Licensed Patent, or the agreement is earlier terminated. Under the terms of the Abbott License Agreement, the Company and Abbott each have the right to terminate the agreement for uncured material breach by, or insolvency of, the other party. Abbott may also terminate the Abbott License Agreement at any time without cause upon 60 days’ notice.</w:t>
      </w:r>
    </w:p>
    <w:p>
      <w:pPr>
        <w:spacing w:after="0" w:line="192" w:lineRule="exact"/>
        <w:rPr>
          <w:sz w:val="20"/>
          <w:szCs w:val="20"/>
          <w:color w:val="auto"/>
        </w:rPr>
      </w:pPr>
    </w:p>
    <w:p>
      <w:pPr>
        <w:ind w:left="60" w:right="499" w:firstLine="648"/>
        <w:spacing w:after="0" w:line="277" w:lineRule="auto"/>
        <w:rPr>
          <w:sz w:val="20"/>
          <w:szCs w:val="20"/>
          <w:color w:val="auto"/>
        </w:rPr>
      </w:pPr>
      <w:r>
        <w:rPr>
          <w:rFonts w:ascii="Arial" w:cs="Arial" w:eastAsia="Arial" w:hAnsi="Arial"/>
          <w:sz w:val="18"/>
          <w:szCs w:val="18"/>
          <w:color w:val="auto"/>
        </w:rPr>
        <w:t>During the three and six months ended June 30, 2021, the Company recognized no revenue under the Abbott License Agreement.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Employee benefit plans</w:t>
      </w:r>
    </w:p>
    <w:p>
      <w:pPr>
        <w:spacing w:after="0" w:line="229" w:lineRule="exact"/>
        <w:rPr>
          <w:sz w:val="20"/>
          <w:szCs w:val="20"/>
          <w:color w:val="auto"/>
        </w:rPr>
      </w:pPr>
    </w:p>
    <w:p>
      <w:pPr>
        <w:ind w:left="60" w:right="479" w:firstLine="648"/>
        <w:spacing w:after="0" w:line="279" w:lineRule="auto"/>
        <w:rPr>
          <w:sz w:val="20"/>
          <w:szCs w:val="20"/>
          <w:color w:val="auto"/>
        </w:rPr>
      </w:pPr>
      <w:r>
        <w:rPr>
          <w:rFonts w:ascii="Arial" w:cs="Arial" w:eastAsia="Arial" w:hAnsi="Arial"/>
          <w:sz w:val="17"/>
          <w:szCs w:val="17"/>
          <w:color w:val="auto"/>
        </w:rPr>
        <w:t>The Company sponsors a 401(k) savings plan for its employees. The Company may make discretionary contributions for each 401(k) plan year. During the three and six months ended June 30, 2021, the Company made contributions of $0.2 million and $0.4 million, respectively. During the three and six months ended June 30, 2020, the Company made contributions of $0.2 million and $0.3 million, respectively.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Goodwill and acquired intangible assets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As of June 30, 2021, the carrying amount of goodwill was $10.1 million. The following is a rollforward of the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Company’s goodwill balance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Borders>
              <w:bottom w:val="single" w:sz="8" w:color="CCEEFF"/>
            </w:tcBorders>
          </w:tcPr>
          <w:p>
            <w:pPr>
              <w:spacing w:after="0"/>
              <w:rPr>
                <w:sz w:val="14"/>
                <w:szCs w:val="14"/>
                <w:color w:val="auto"/>
              </w:rPr>
            </w:pPr>
          </w:p>
        </w:tc>
        <w:tc>
          <w:tcPr>
            <w:tcW w:w="4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4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Cumulative translation adjustment</w:t>
            </w:r>
          </w:p>
        </w:tc>
        <w:tc>
          <w:tcPr>
            <w:tcW w:w="4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2021</w:t>
            </w:r>
          </w:p>
        </w:tc>
        <w:tc>
          <w:tcPr>
            <w:tcW w:w="4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340" w:type="dxa"/>
            <w:vAlign w:val="bottom"/>
            <w:vMerge w:val="restart"/>
          </w:tcPr>
          <w:p>
            <w:pPr>
              <w:jc w:val="right"/>
              <w:ind w:right="3130"/>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Acquired intangible assets as of June 30, 2021 consist of the following (in thousands):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June 30, 2021</w:t>
            </w: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2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Estimated Useful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0"/>
                <w:szCs w:val="10"/>
                <w:color w:val="auto"/>
              </w:rPr>
            </w:pP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Cumulative</w:t>
            </w:r>
          </w:p>
        </w:tc>
        <w:tc>
          <w:tcPr>
            <w:tcW w:w="2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140" w:type="dxa"/>
            <w:vAlign w:val="bottom"/>
          </w:tcPr>
          <w:p>
            <w:pPr>
              <w:spacing w:after="0"/>
              <w:rPr>
                <w:sz w:val="10"/>
                <w:szCs w:val="10"/>
                <w:color w:val="auto"/>
              </w:rPr>
            </w:pPr>
          </w:p>
        </w:tc>
        <w:tc>
          <w:tcPr>
            <w:tcW w:w="1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58"/>
        </w:trPr>
        <w:tc>
          <w:tcPr>
            <w:tcW w:w="23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37"/>
              <w:spacing w:after="0" w:line="158"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Translation</w:t>
            </w:r>
          </w:p>
        </w:tc>
        <w:tc>
          <w:tcPr>
            <w:tcW w:w="20" w:type="dxa"/>
            <w:vAlign w:val="bottom"/>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1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4"/>
              </w:rPr>
              <w:t>Life Remaining (in years)</w:t>
            </w:r>
          </w:p>
        </w:tc>
        <w:tc>
          <w:tcPr>
            <w:tcW w:w="0" w:type="dxa"/>
            <w:vAlign w:val="bottom"/>
          </w:tcPr>
          <w:p>
            <w:pPr>
              <w:spacing w:after="0"/>
              <w:rPr>
                <w:sz w:val="1"/>
                <w:szCs w:val="1"/>
                <w:color w:val="auto"/>
              </w:rPr>
            </w:pPr>
          </w:p>
        </w:tc>
      </w:tr>
      <w:tr>
        <w:trPr>
          <w:trHeight w:val="209"/>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Know-how</w:t>
            </w: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8.5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$ 10,800</w:t>
            </w:r>
          </w:p>
        </w:tc>
        <w:tc>
          <w:tcPr>
            <w:tcW w:w="1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Developed technology</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8.5 - 10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Non-compete agreements</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32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16,400</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(5,111)</w:t>
            </w: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$ 12,174</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Acquired intangible assets as of December 31, 2020 consist of the following (in thousands):</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Estimated Useful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0"/>
                <w:szCs w:val="10"/>
                <w:color w:val="auto"/>
              </w:rPr>
            </w:pP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Cumulative</w:t>
            </w:r>
          </w:p>
        </w:tc>
        <w:tc>
          <w:tcPr>
            <w:tcW w:w="2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0"/>
                <w:szCs w:val="10"/>
                <w:color w:val="auto"/>
              </w:rPr>
            </w:pPr>
          </w:p>
        </w:tc>
        <w:tc>
          <w:tcPr>
            <w:tcW w:w="1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58"/>
        </w:trPr>
        <w:tc>
          <w:tcPr>
            <w:tcW w:w="23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17"/>
              <w:spacing w:after="0" w:line="158"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Translation</w:t>
            </w:r>
          </w:p>
        </w:tc>
        <w:tc>
          <w:tcPr>
            <w:tcW w:w="20" w:type="dxa"/>
            <w:vAlign w:val="bottom"/>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3"/>
                <w:szCs w:val="13"/>
                <w:color w:val="auto"/>
              </w:rPr>
            </w:pPr>
          </w:p>
        </w:tc>
        <w:tc>
          <w:tcPr>
            <w:tcW w:w="1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4"/>
              </w:rPr>
              <w:t>Life Remaining (in years)</w:t>
            </w:r>
          </w:p>
        </w:tc>
        <w:tc>
          <w:tcPr>
            <w:tcW w:w="0" w:type="dxa"/>
            <w:vAlign w:val="bottom"/>
          </w:tcPr>
          <w:p>
            <w:pPr>
              <w:spacing w:after="0"/>
              <w:rPr>
                <w:sz w:val="1"/>
                <w:szCs w:val="1"/>
                <w:color w:val="auto"/>
              </w:rPr>
            </w:pPr>
          </w:p>
        </w:tc>
      </w:tr>
      <w:tr>
        <w:trPr>
          <w:trHeight w:val="209"/>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Know-how</w:t>
            </w: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8.5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$ 12,078</w:t>
            </w:r>
          </w:p>
        </w:tc>
        <w:tc>
          <w:tcPr>
            <w:tcW w:w="1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Developed technology</w:t>
            </w:r>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614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8.5 - 10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Non-compete agreements</w:t>
            </w: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9"/>
        </w:trPr>
        <w:tc>
          <w:tcPr>
            <w:tcW w:w="232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(4,101)</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$ 13,716</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60" w:right="339" w:firstLine="648"/>
        <w:spacing w:after="0" w:line="254" w:lineRule="auto"/>
        <w:rPr>
          <w:sz w:val="20"/>
          <w:szCs w:val="20"/>
          <w:color w:val="auto"/>
        </w:rPr>
      </w:pPr>
      <w:r>
        <w:rPr>
          <w:rFonts w:ascii="Arial" w:cs="Arial" w:eastAsia="Arial" w:hAnsi="Arial"/>
          <w:sz w:val="18"/>
          <w:szCs w:val="18"/>
          <w:color w:val="auto"/>
        </w:rPr>
        <w:t>The Company recorded amortization expense of $0.5 million and $1.0 million for three and six months ended June 30, 2021, respectively, and $0.5 million and $1.0 million for the three and six months ended June 30, 2020, respectively. Amortization relating to developed technology is recorded within research and development expenses, amortization of customer relationships is recorded within selling, general, and administrative expenses, amortization of trade names is recorded within selling, general and administrative expenses, amortization of non-compete agreements is recorded within selling, general, and administrative expenses, and amortization of know-how is recorded within cost of product revenue.</w:t>
      </w:r>
    </w:p>
    <w:p>
      <w:pPr>
        <w:spacing w:after="0" w:line="154" w:lineRule="exact"/>
        <w:rPr>
          <w:sz w:val="20"/>
          <w:szCs w:val="20"/>
          <w:color w:val="auto"/>
        </w:rPr>
      </w:pPr>
    </w:p>
    <w:p>
      <w:pPr>
        <w:ind w:left="60" w:right="819" w:firstLine="648"/>
        <w:spacing w:after="0" w:line="277" w:lineRule="auto"/>
        <w:rPr>
          <w:sz w:val="20"/>
          <w:szCs w:val="20"/>
          <w:color w:val="auto"/>
        </w:rPr>
      </w:pPr>
      <w:r>
        <w:rPr>
          <w:rFonts w:ascii="Arial" w:cs="Arial" w:eastAsia="Arial" w:hAnsi="Arial"/>
          <w:sz w:val="18"/>
          <w:szCs w:val="18"/>
          <w:color w:val="auto"/>
        </w:rPr>
        <w:t>Future estimated amortization expense of acquired intangible assets as of June 30, 2021 is as follows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Estimated Amortization Expense</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Current year (2021)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1,930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1,733</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w:t>
            </w:r>
          </w:p>
        </w:tc>
      </w:tr>
      <w:tr>
        <w:trPr>
          <w:trHeight w:val="209"/>
        </w:trPr>
        <w:tc>
          <w:tcPr>
            <w:tcW w:w="6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12,174</w:t>
            </w: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The Company entered into the License Agreement for certain intellectual property with Tufts (see Note 11). Tufts is a related party to the Company due to Tufts’ equity ownership in the Company and because a member of the Company’s Board of Directors was affiliated with Tufts. During the three and six months ended June 30, 2021 and the three and six months ended June 30, 2020, the Company recorded royalty expense of $0.4 million, $0.8 million, $0.2 million, and $0.4 million respectively, in cost of product revenue on the consolidated statements of operations.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During the year ended December 31, 2017, Harvard University became a related party because a member of the Company’s Board of Directors is affiliated with Harvard University. Revenue recorded from sales to Harvard University and its affiliates was $0.2 million for each of the three and six months ended June 30, 2021. Revenue recorded from sales to Harvard University and its affiliates was less than $0.1 million for each of the three and six months ended June 30, 2020.</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Accumulated other comprehensive income (loss)</w:t>
      </w:r>
    </w:p>
    <w:p>
      <w:pPr>
        <w:spacing w:after="0" w:line="202"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The following shows the changes in the components of accumulated other comprehensive income (loss) for the six months ended June 30, 2021 and 2020 which consisted of only foreign currency translation adjustments for the periods shown (in thousands):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r>
      <w:tr>
        <w:trPr>
          <w:trHeight w:val="216"/>
        </w:trPr>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5"/>
              </w:rPr>
              <w:t>Cumulative</w:t>
            </w:r>
          </w:p>
        </w:tc>
        <w:tc>
          <w:tcPr>
            <w:tcW w:w="140" w:type="dxa"/>
            <w:vAlign w:val="bottom"/>
          </w:tcPr>
          <w:p>
            <w:pPr>
              <w:spacing w:after="0"/>
              <w:rPr>
                <w:sz w:val="18"/>
                <w:szCs w:val="18"/>
                <w:color w:val="auto"/>
              </w:rPr>
            </w:pPr>
          </w:p>
        </w:tc>
        <w:tc>
          <w:tcPr>
            <w:tcW w:w="1160" w:type="dxa"/>
            <w:vAlign w:val="bottom"/>
          </w:tcPr>
          <w:p>
            <w:pPr>
              <w:jc w:val="center"/>
              <w:ind w:right="60"/>
              <w:spacing w:after="0"/>
              <w:rPr>
                <w:sz w:val="20"/>
                <w:szCs w:val="20"/>
                <w:color w:val="auto"/>
              </w:rPr>
            </w:pPr>
            <w:r>
              <w:rPr>
                <w:rFonts w:ascii="Arial" w:cs="Arial" w:eastAsia="Arial" w:hAnsi="Arial"/>
                <w:sz w:val="14"/>
                <w:szCs w:val="14"/>
                <w:b w:val="1"/>
                <w:bCs w:val="1"/>
                <w:color w:val="auto"/>
              </w:rPr>
              <w:t>Other</w:t>
            </w:r>
          </w:p>
        </w:tc>
      </w:tr>
      <w:tr>
        <w:trPr>
          <w:trHeight w:val="216"/>
        </w:trPr>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8"/>
                <w:szCs w:val="18"/>
                <w:color w:val="auto"/>
              </w:rPr>
            </w:pPr>
          </w:p>
        </w:tc>
        <w:tc>
          <w:tcPr>
            <w:tcW w:w="116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Comprehensive</w:t>
            </w:r>
          </w:p>
        </w:tc>
      </w:tr>
      <w:tr>
        <w:trPr>
          <w:trHeight w:val="201"/>
        </w:trPr>
        <w:tc>
          <w:tcPr>
            <w:tcW w:w="5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3"/>
              </w:rPr>
              <w:t>Adjustment</w:t>
            </w:r>
          </w:p>
        </w:tc>
        <w:tc>
          <w:tcPr>
            <w:tcW w:w="140" w:type="dxa"/>
            <w:vAlign w:val="bottom"/>
          </w:tcPr>
          <w:p>
            <w:pPr>
              <w:spacing w:after="0"/>
              <w:rPr>
                <w:sz w:val="17"/>
                <w:szCs w:val="17"/>
                <w:color w:val="auto"/>
              </w:rPr>
            </w:pPr>
          </w:p>
        </w:tc>
        <w:tc>
          <w:tcPr>
            <w:tcW w:w="116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Income</w:t>
            </w:r>
          </w:p>
        </w:tc>
      </w:tr>
      <w:tr>
        <w:trPr>
          <w:trHeight w:val="210"/>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Current period accumulated other comprehensive loss</w:t>
            </w:r>
          </w:p>
        </w:tc>
        <w:tc>
          <w:tcPr>
            <w:tcW w:w="100" w:type="dxa"/>
            <w:vAlign w:val="bottom"/>
          </w:tcPr>
          <w:p>
            <w:pPr>
              <w:spacing w:after="0"/>
              <w:rPr>
                <w:sz w:val="18"/>
                <w:szCs w:val="18"/>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(856)</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(856)</w:t>
            </w:r>
          </w:p>
        </w:tc>
      </w:tr>
      <w:tr>
        <w:trPr>
          <w:trHeight w:val="209"/>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June 30,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r>
      <w:tr>
        <w:trPr>
          <w:trHeight w:val="20"/>
        </w:trPr>
        <w:tc>
          <w:tcPr>
            <w:tcW w:w="5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28"/>
        </w:trPr>
        <w:tc>
          <w:tcPr>
            <w:tcW w:w="5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r>
      <w:tr>
        <w:trPr>
          <w:trHeight w:val="216"/>
        </w:trPr>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5"/>
              </w:rPr>
              <w:t>Cumulative</w:t>
            </w:r>
          </w:p>
        </w:tc>
        <w:tc>
          <w:tcPr>
            <w:tcW w:w="140" w:type="dxa"/>
            <w:vAlign w:val="bottom"/>
          </w:tcPr>
          <w:p>
            <w:pPr>
              <w:spacing w:after="0"/>
              <w:rPr>
                <w:sz w:val="18"/>
                <w:szCs w:val="18"/>
                <w:color w:val="auto"/>
              </w:rPr>
            </w:pPr>
          </w:p>
        </w:tc>
        <w:tc>
          <w:tcPr>
            <w:tcW w:w="1160" w:type="dxa"/>
            <w:vAlign w:val="bottom"/>
          </w:tcPr>
          <w:p>
            <w:pPr>
              <w:jc w:val="center"/>
              <w:ind w:right="60"/>
              <w:spacing w:after="0"/>
              <w:rPr>
                <w:sz w:val="20"/>
                <w:szCs w:val="20"/>
                <w:color w:val="auto"/>
              </w:rPr>
            </w:pPr>
            <w:r>
              <w:rPr>
                <w:rFonts w:ascii="Arial" w:cs="Arial" w:eastAsia="Arial" w:hAnsi="Arial"/>
                <w:sz w:val="14"/>
                <w:szCs w:val="14"/>
                <w:b w:val="1"/>
                <w:bCs w:val="1"/>
                <w:color w:val="auto"/>
              </w:rPr>
              <w:t>Other</w:t>
            </w:r>
          </w:p>
        </w:tc>
      </w:tr>
      <w:tr>
        <w:trPr>
          <w:trHeight w:val="216"/>
        </w:trPr>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8"/>
                <w:szCs w:val="18"/>
                <w:color w:val="auto"/>
              </w:rPr>
            </w:pPr>
          </w:p>
        </w:tc>
        <w:tc>
          <w:tcPr>
            <w:tcW w:w="116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Comprehensive</w:t>
            </w:r>
          </w:p>
        </w:tc>
      </w:tr>
      <w:tr>
        <w:trPr>
          <w:trHeight w:val="201"/>
        </w:trPr>
        <w:tc>
          <w:tcPr>
            <w:tcW w:w="5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3"/>
              </w:rPr>
              <w:t>Adjustment</w:t>
            </w:r>
          </w:p>
        </w:tc>
        <w:tc>
          <w:tcPr>
            <w:tcW w:w="140" w:type="dxa"/>
            <w:vAlign w:val="bottom"/>
          </w:tcPr>
          <w:p>
            <w:pPr>
              <w:spacing w:after="0"/>
              <w:rPr>
                <w:sz w:val="17"/>
                <w:szCs w:val="17"/>
                <w:color w:val="auto"/>
              </w:rPr>
            </w:pPr>
          </w:p>
        </w:tc>
        <w:tc>
          <w:tcPr>
            <w:tcW w:w="1160" w:type="dxa"/>
            <w:vAlign w:val="bottom"/>
          </w:tcPr>
          <w:p>
            <w:pPr>
              <w:jc w:val="center"/>
              <w:ind w:right="40"/>
              <w:spacing w:after="0"/>
              <w:rPr>
                <w:sz w:val="20"/>
                <w:szCs w:val="20"/>
                <w:color w:val="auto"/>
              </w:rPr>
            </w:pPr>
            <w:r>
              <w:rPr>
                <w:rFonts w:ascii="Arial" w:cs="Arial" w:eastAsia="Arial" w:hAnsi="Arial"/>
                <w:sz w:val="14"/>
                <w:szCs w:val="14"/>
                <w:b w:val="1"/>
                <w:bCs w:val="1"/>
                <w:color w:val="auto"/>
                <w:w w:val="85"/>
              </w:rPr>
              <w:t>Loss</w:t>
            </w:r>
          </w:p>
        </w:tc>
      </w:tr>
      <w:tr>
        <w:trPr>
          <w:trHeight w:val="210"/>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period accumulated other comprehensive loss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7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1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June 30,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7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Subsequent events</w:t>
      </w:r>
    </w:p>
    <w:p>
      <w:pPr>
        <w:spacing w:after="0" w:line="189"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The Company had no significant subsequent events for the period June 30, 2021 through the filing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included elsewhere in this Quarterly Report on Form 10-Q and our audited financial statements and Management’s Discussion and Analysis of Financial Condition and Results of Operations included in our Annual Report on Form 10-K for the year ended December 31, 2020, filed with the Securities and Exchange Commission (SEC). In addition to historical information, the following discussion contains forward-looking statements that involve risks, uncertainties and assumptions. Our actual results, performance or experience could differ materially from what is indicated by any forward-looking statement due to various important factors, risks and uncertainties, including, but not limited to, those set forth under “Special Note Regarding Forward-Looking Statements” included elsewhere in this quarterly report or under “Risk Factors” in Item 1A of Part I of our Annual Report on Form 10-K for the year ended December 31, 2020 as may be updated by “Part II, Item 1A, Risk Factors” of our subsequently filed Quarterly Reports on Form 10-Q.</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70"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We are a life sciences company that has developed next generation, ultra-sensitive digital immunoassay platforms that advance precision health for life sciences research and diagnostics. Our platforms are based on our proprietary digital “Simoa” detection technology. Our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and have been discovered using technologies such as mass spectrometry.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 We are currently focusing on protein detection, which we believe is an area of significant unmet need and where we have significant competitive advantages. However, in addition to enabling new applications and insights in protein analysis, our Simoa platforms have also demonstrated applicability across other testing applications, including detection of nucleic acids and small molecules.</w:t>
      </w:r>
    </w:p>
    <w:p>
      <w:pPr>
        <w:spacing w:after="0" w:line="171"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We currently sell most of our products for life science research, primarily to laboratories associated with academic and governmental research institutions, as well as pharmaceutical, biotechnology and contract research companies, through a direct sales force and support organizations in North America and Europe, and through distributors or sales agents in other select markets, including Australia, China, Czech Republic, India, Israel, Japan, Lebanon, Mexico, Qatar, Saudi Arabia, Singapore, South Korea, and Taiwan.</w:t>
      </w:r>
    </w:p>
    <w:p>
      <w:pPr>
        <w:spacing w:after="0" w:line="188"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Our instruments are designed to be used either with assays fully developed by us, including all antibodies and supplies required to run the tests, or with “homebrew” kits where we supply some of the components required for testing, and the customer supplies the remaining required elements. Accordingly, our installed instruments generate a recurring revenue stream. We believe that our recurring consumable revenue is driven by our customers’ ability to extract more valuable data using our platform and to process a large number of samples quickly with little hands-on preparation.</w:t>
      </w:r>
    </w:p>
    <w:p>
      <w:pPr>
        <w:spacing w:after="0" w:line="161"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We commercially launched our first immunoassay platform, the Simoa HD-1, in January 2014. The HD-1 is based on our bead-based technology, and assays run on the HD-1 are fully automated. We initiated commercial launch of the SR-X instrument in December 2017. The SR-X utilizes the same Simoa bead-based technology and assay kits as the HD-1 in a compact benchtop form with a lower price point, more flexible assay preparation, and a wider range of applications. In July 2019, we launched the Simoa HD-X, an upgraded version of the Simoa HD-1, which replaces the HD-1. The HD-X has been designed to deliver significant productivity and operational efficiency improvements, as well as greater user flexibility. We began shipping and installing HD-X instruments at customer locations in the third quarter of 2019. As the installed base of the Simoa instruments increases, total consumables revenue overall is expected to</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increase. We believe that consumables revenue should be subject to less period-to-period fluctuation than our instrument sales revenue, and will become an increasingly important contributor to our overall revenue.</w:t>
      </w:r>
    </w:p>
    <w:p>
      <w:pPr>
        <w:spacing w:after="0" w:line="170"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On January 30, 2018, we acquired Aushon Biosystems, Inc. (Aushon) for $3.2 million in cash, with an additional payment of $0.8 million made in July 2018, six months after the acquisition date. With the acquisition of Aushon, we acquired a CLIA certified laboratory, as well as Aushon’s proprietary sensitive planar array detection technology. Leveraging our proprietary sophisticated Simoa image analysis and data analysis algorithms, we further refined this planar array technology to develop the SP-X instrument to provide the same Simoa sensitivity found in our Simoa bead-based platform. We initiated an early-access program for the SP-X instrument in January 2019, with the full commercial launch commenced in April 2019.</w:t>
      </w:r>
    </w:p>
    <w:p>
      <w:pPr>
        <w:spacing w:after="0" w:line="195"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On August 1, 2019, we completed our acquisition of UmanDiagnostics AB (Uman) for an aggregate purchase price of $21.2 million, comprised of (i) $15.7 million in cash plus (ii) 191,152 shares of our common stock (representing $5.5 million based on the closing prices of our common stock on the Nasdaq Global Market on July 1, 2019 and August 1, 2019, the dates of issuance). The acquisition closed with respect to 95% of the outstanding shares of capital stock of Uman on July 1, 2019 and with respect to the remaining 5% of the outstanding shares of capital stock of Uman on August 1, 2019. Uman supplies neurofilament light (Nf-L) antibodies and ELISA kits, which are widely recognized by researchers and biopharmaceutical and diagnostics companies world-wide as the premier solution for the detection of Nf-L to advance the development of therapeutics and diagnostics for neurodegenerative conditions.</w:t>
      </w:r>
    </w:p>
    <w:p>
      <w:pPr>
        <w:spacing w:after="0" w:line="165"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 xml:space="preserve">On September 29, 2020, we entered into a Non-exclusive License Agreement (the Abbott License Agreement) with Abbott Laboratories (Abbott). Pursuant to the terms of the Abbott License Agreement, we granted Abbott a non-exclusive, worldwide, royalty-bearing license, without the right to sublicense, under our bead-based single molecule detection patents in the field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diagnostics. Abbott has paid us an initial license fee of $10.0 million in connection with the execution of the Abbott License Agreement, which was recognized as collaboration and license revenue for the three months ended September 30, 2020. In addition, during the three months ended September 30, 2020, we recognized as collaboration and license revenue approximately $1.2 million of previously deferred revenue upon entering into the Abbott License Agreement. Abbott has also agreed to pay us milestone fees subject to the achievement by Abbott of certain development, regulatory and commercialization milestones and low single digit royalties on net sales of licensed products.</w:t>
      </w:r>
    </w:p>
    <w:p>
      <w:pPr>
        <w:spacing w:after="0" w:line="166"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We are subject to ongoing uncertainty concerning the SARS-CoV-2 (COVID-19) pandemic, including its length and severity and its effect on our business. During the first and second quarters of 2020, we implemented a resiliency plan focused on the health and safety of our employees and maintaining continuity of our operations. We saw an impact on instrument revenue due to limitations on our ability to access certain customer sites and complete instrument installations, as well as an impact on consumables revenue from interruptions in certain customer laboratories through the first quarter of 2021. As customers began returning to normal operations in the second quarter of 2021, we have seen less of an impact related to COVID-19 related shutdowns. However, we expect COVID-19 related challenges to continue for the foreseeable future and potentially increase if variants result in new shutdowns.</w:t>
      </w:r>
    </w:p>
    <w:p>
      <w:pPr>
        <w:spacing w:after="0" w:line="260"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In view of the COVID-19 pandemic, we have adjusted our operations to expand capacity in our Accelerator Laboratory to support customers whose operations have been disrupted and to sustain clinical trials. We also determined that our cytokine assay technology provides researchers with important and differentiated tools to study disease progression, cytokine release syndrome, and patient-treatment response in the fight against COVID-19, and began developing a SARS- CoV-2 semi-quantitative IgG assay and a SARS-CoV-2 antigen detection assay, and prototyping a high-definition multiplex SARS-CoV-2 serology assay. In December 2020, the United States Food and Drug Administration (FDA) issued an Emergency Use Authorization (EUA) for our Simoa Semi-Quantitative SARS-CoV-2 IgG Antibody Test, and in January 2021, the FDA issued an EUA for our Simoa SARS-CoV-2 N Protein Antigen Test, each of which is run on our HD-X instrument. We are currently in the final stages of working with the FDA to extend our authorization for additional sample types, including nasal swabs, and saliva, as well as extending our EUA label to include asymptomatic testing and validation of the test in detecting all variants of concern, including the COVID-19 Delta variant. We are exploring extending the test to home-based sample collection and pooling to enable larger scale testing.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In September 2020, we entered into a workplan 2 award (WP2) with the National Institute of Health (NIH) under the Rapid Acceleration of Diagnostics (RADx) program. This contract, which has a total award value of $18.2 million, is intended to accelerate the continued development, scale-up and deployment of our novel SARS-CoV-2 antigen test. Initial early feasibility of this test was funded in part through the workplan 1 award (WP1) we were granted in June 2020. WP2 supports clinical validation of the test in support of the EUA submissions with the FDA and provides funding to expand assay kit manufacturing capacity and commercial deployment readiness. Contract funding is subject to achievement of pre-defined milestones and the contract period runs through September 2021.</w:t>
      </w:r>
    </w:p>
    <w:p>
      <w:pPr>
        <w:spacing w:after="0" w:line="177" w:lineRule="exact"/>
        <w:rPr>
          <w:sz w:val="20"/>
          <w:szCs w:val="20"/>
          <w:color w:val="auto"/>
        </w:rPr>
      </w:pPr>
    </w:p>
    <w:p>
      <w:pPr>
        <w:ind w:left="60" w:right="219" w:firstLine="648"/>
        <w:spacing w:after="0" w:line="273" w:lineRule="auto"/>
        <w:rPr>
          <w:sz w:val="20"/>
          <w:szCs w:val="20"/>
          <w:color w:val="auto"/>
        </w:rPr>
      </w:pPr>
      <w:r>
        <w:rPr>
          <w:rFonts w:ascii="Arial" w:cs="Arial" w:eastAsia="Arial" w:hAnsi="Arial"/>
          <w:sz w:val="17"/>
          <w:szCs w:val="17"/>
          <w:color w:val="auto"/>
        </w:rPr>
        <w:t>The COVID-19 situation remains dynamic and there still remains significant uncertainty as to the length and severity of the pandemic, the actions that may be taken by government authorities, the impact to the business of our customers and suppliers, the long-term economic implications and other factors identified in “Part I, Item 1A, Risk Factors” of our Annual Report on Form 10-K for the year ended December 31, 2020 as may be updated by “Part II, Item 1A, Risk Factors” of our subsequently filed Quarterly Reports on Form 10-Q. We will continue to evaluate the nature and extent of the impact to our business, financial condition, and operating results.</w:t>
      </w:r>
    </w:p>
    <w:p>
      <w:pPr>
        <w:spacing w:after="0" w:line="178"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As of June 30, 2021, we had cash and cash equivalents of $430.8 million. Other than the third quarter of 2020, since inception, we have incurred net losses. Our net loss was $31.5 million, $40.8 million, and $31.5 million for the years ended December 31, 2020, 2019, and 2018, respectively, and $22.0 million and $23.9 million for the six months ended June 30, 2021 and 2020, respectively. As of June 30, 2021, we had an accumulated deficit of $269.8 million and stockholders' equity of $466.0 million. We expect to continue to incur significant expenses and operating losses at least through the next 24 months. We expect our expenses will increase substantially as we:</w:t>
      </w:r>
    </w:p>
    <w:p>
      <w:pPr>
        <w:spacing w:after="0" w:line="218" w:lineRule="exact"/>
        <w:rPr>
          <w:sz w:val="20"/>
          <w:szCs w:val="20"/>
          <w:color w:val="auto"/>
        </w:rPr>
      </w:pPr>
    </w:p>
    <w:p>
      <w:pPr>
        <w:ind w:left="1380" w:hanging="655"/>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our sales and marketing efforts to further commercialize our products;</w:t>
      </w:r>
    </w:p>
    <w:p>
      <w:pPr>
        <w:spacing w:after="0" w:line="23" w:lineRule="exact"/>
        <w:rPr>
          <w:rFonts w:ascii="Arial" w:cs="Arial" w:eastAsia="Arial" w:hAnsi="Arial"/>
          <w:sz w:val="18"/>
          <w:szCs w:val="18"/>
          <w:color w:val="auto"/>
        </w:rPr>
      </w:pPr>
    </w:p>
    <w:p>
      <w:pPr>
        <w:ind w:left="1380" w:hanging="655"/>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strategically acquire companies or technologies that may be complementary to our business;</w:t>
      </w:r>
    </w:p>
    <w:p>
      <w:pPr>
        <w:spacing w:after="0" w:line="9" w:lineRule="exact"/>
        <w:rPr>
          <w:rFonts w:ascii="Arial" w:cs="Arial" w:eastAsia="Arial" w:hAnsi="Arial"/>
          <w:sz w:val="18"/>
          <w:szCs w:val="18"/>
          <w:color w:val="auto"/>
        </w:rPr>
      </w:pPr>
    </w:p>
    <w:p>
      <w:pPr>
        <w:ind w:left="1380" w:right="259" w:hanging="655"/>
        <w:spacing w:after="0" w:line="250"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our research and development efforts to improve our existing products and develop and launch new products, particularly if any of our products are deemed by the FDA, to be medical devices or otherwise subject to additional regulation by the FDA;</w:t>
      </w:r>
    </w:p>
    <w:p>
      <w:pPr>
        <w:spacing w:after="0" w:line="1" w:lineRule="exact"/>
        <w:rPr>
          <w:rFonts w:ascii="Arial" w:cs="Arial" w:eastAsia="Arial" w:hAnsi="Arial"/>
          <w:sz w:val="18"/>
          <w:szCs w:val="18"/>
          <w:color w:val="auto"/>
        </w:rPr>
      </w:pPr>
    </w:p>
    <w:p>
      <w:pPr>
        <w:jc w:val="both"/>
        <w:ind w:left="1380" w:right="239" w:hanging="655"/>
        <w:spacing w:after="0" w:line="250"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premarket approval (PMA) 510(k) clearance, or EUA, from the FDA for our existing products or new products if or when we decide to market products for use in the prevention, diagnosis or treatment of a disease or other condition;</w:t>
      </w:r>
    </w:p>
    <w:p>
      <w:pPr>
        <w:spacing w:after="0" w:line="1" w:lineRule="exact"/>
        <w:rPr>
          <w:rFonts w:ascii="Arial" w:cs="Arial" w:eastAsia="Arial" w:hAnsi="Arial"/>
          <w:sz w:val="18"/>
          <w:szCs w:val="18"/>
          <w:color w:val="auto"/>
        </w:rPr>
      </w:pPr>
    </w:p>
    <w:p>
      <w:pPr>
        <w:ind w:left="1380" w:hanging="655"/>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 additional personnel and continue to grow our employee headcount;</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collaboration arrangements, if any, or in-license other products and technologies;</w:t>
      </w:r>
    </w:p>
    <w:p>
      <w:pPr>
        <w:spacing w:after="0" w:line="9" w:lineRule="exact"/>
        <w:rPr>
          <w:rFonts w:ascii="Arial" w:cs="Arial" w:eastAsia="Arial" w:hAnsi="Arial"/>
          <w:sz w:val="18"/>
          <w:szCs w:val="18"/>
          <w:color w:val="auto"/>
        </w:rPr>
      </w:pPr>
    </w:p>
    <w:p>
      <w:pPr>
        <w:ind w:left="1380" w:right="439" w:hanging="655"/>
        <w:spacing w:after="0" w:line="250"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assay kit manufacturing capacity and commercial development readiness in connection with WP2;</w:t>
      </w:r>
    </w:p>
    <w:p>
      <w:pPr>
        <w:ind w:left="1380" w:hanging="655"/>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incur increased costs as a result of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June 30, 2021 and June 30, 2020 (dollars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8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June 30,</w:t>
            </w:r>
          </w:p>
        </w:tc>
        <w:tc>
          <w:tcPr>
            <w:tcW w:w="7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June 30,</w:t>
            </w: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revenue</w:t>
            </w:r>
          </w:p>
        </w:tc>
        <w:tc>
          <w:tcPr>
            <w:tcW w:w="260" w:type="dxa"/>
            <w:vAlign w:val="bottom"/>
          </w:tcPr>
          <w:p>
            <w:pPr>
              <w:spacing w:after="0"/>
              <w:rPr>
                <w:sz w:val="14"/>
                <w:szCs w:val="14"/>
                <w:color w:val="auto"/>
              </w:rPr>
            </w:pPr>
          </w:p>
        </w:tc>
        <w:tc>
          <w:tcPr>
            <w:tcW w:w="10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6"/>
              </w:rPr>
              <w:t>revenue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change</w:t>
            </w:r>
          </w:p>
        </w:tc>
        <w:tc>
          <w:tcPr>
            <w:tcW w:w="880" w:type="dxa"/>
            <w:vAlign w:val="bottom"/>
          </w:tcPr>
          <w:p>
            <w:pPr>
              <w:jc w:val="right"/>
              <w:ind w:right="1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18,676</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74 %</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6,790</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$ 11,886</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16"/>
        </w:trPr>
        <w:tc>
          <w:tcPr>
            <w:tcW w:w="2720" w:type="dxa"/>
            <w:vAlign w:val="bottom"/>
          </w:tcPr>
          <w:p>
            <w:pPr>
              <w:ind w:left="20"/>
              <w:spacing w:after="0"/>
              <w:rPr>
                <w:sz w:val="20"/>
                <w:szCs w:val="20"/>
                <w:color w:val="auto"/>
              </w:rPr>
            </w:pPr>
            <w:r>
              <w:rPr>
                <w:rFonts w:ascii="Arial" w:cs="Arial" w:eastAsia="Arial" w:hAnsi="Arial"/>
                <w:sz w:val="18"/>
                <w:szCs w:val="18"/>
                <w:color w:val="auto"/>
              </w:rPr>
              <w:t>Service and other revenue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5,648</w:t>
            </w:r>
          </w:p>
        </w:tc>
        <w:tc>
          <w:tcPr>
            <w:tcW w:w="16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22 %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6,317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(669)</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Collaboration and license revenue</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357 %</w:t>
            </w:r>
          </w:p>
        </w:tc>
        <w:tc>
          <w:tcPr>
            <w:tcW w:w="0" w:type="dxa"/>
            <w:vAlign w:val="bottom"/>
          </w:tcPr>
          <w:p>
            <w:pPr>
              <w:spacing w:after="0"/>
              <w:rPr>
                <w:sz w:val="1"/>
                <w:szCs w:val="1"/>
                <w:color w:val="auto"/>
              </w:rPr>
            </w:pPr>
          </w:p>
        </w:tc>
      </w:tr>
      <w:tr>
        <w:trPr>
          <w:trHeight w:val="216"/>
        </w:trPr>
        <w:tc>
          <w:tcPr>
            <w:tcW w:w="2720" w:type="dxa"/>
            <w:vAlign w:val="bottom"/>
          </w:tcPr>
          <w:p>
            <w:pPr>
              <w:ind w:left="20"/>
              <w:spacing w:after="0"/>
              <w:rPr>
                <w:sz w:val="20"/>
                <w:szCs w:val="20"/>
                <w:color w:val="auto"/>
              </w:rPr>
            </w:pPr>
            <w:r>
              <w:rPr>
                <w:rFonts w:ascii="Arial" w:cs="Arial" w:eastAsia="Arial" w:hAnsi="Arial"/>
                <w:sz w:val="18"/>
                <w:szCs w:val="18"/>
                <w:color w:val="auto"/>
              </w:rPr>
              <w:t>Grant revenue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942</w:t>
            </w:r>
          </w:p>
        </w:tc>
        <w:tc>
          <w:tcPr>
            <w:tcW w:w="16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942</w:t>
            </w:r>
          </w:p>
        </w:tc>
        <w:tc>
          <w:tcPr>
            <w:tcW w:w="14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426"/>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shd w:val="clear" w:color="auto" w:fill="CCEEFF"/>
          </w:tcPr>
          <w:p>
            <w:pPr>
              <w:spacing w:after="0"/>
              <w:rPr>
                <w:sz w:val="24"/>
                <w:szCs w:val="2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25,371</w:t>
            </w:r>
          </w:p>
        </w:tc>
        <w:tc>
          <w:tcPr>
            <w:tcW w:w="16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100 %</w:t>
            </w:r>
          </w:p>
        </w:tc>
        <w:tc>
          <w:tcPr>
            <w:tcW w:w="14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spacing w:after="0"/>
              <w:rPr>
                <w:sz w:val="24"/>
                <w:szCs w:val="2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13,130</w:t>
            </w:r>
          </w:p>
        </w:tc>
        <w:tc>
          <w:tcPr>
            <w:tcW w:w="14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6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12,241</w:t>
            </w:r>
          </w:p>
        </w:tc>
        <w:tc>
          <w:tcPr>
            <w:tcW w:w="140" w:type="dxa"/>
            <w:vAlign w:val="bottom"/>
            <w:tcBorders>
              <w:top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09"/>
        </w:trPr>
        <w:tc>
          <w:tcPr>
            <w:tcW w:w="27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16"/>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 revenue</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13 %</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182"/>
        </w:trPr>
        <w:tc>
          <w:tcPr>
            <w:tcW w:w="27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Total costs of goods sold and</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11,497</w:t>
            </w:r>
          </w:p>
        </w:tc>
        <w:tc>
          <w:tcPr>
            <w:tcW w:w="16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45 %</w:t>
            </w:r>
          </w:p>
        </w:tc>
        <w:tc>
          <w:tcPr>
            <w:tcW w:w="1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7,917</w:t>
            </w:r>
          </w:p>
        </w:tc>
        <w:tc>
          <w:tcPr>
            <w:tcW w:w="14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4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09"/>
        </w:trPr>
        <w:tc>
          <w:tcPr>
            <w:tcW w:w="27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13,874</w:t>
            </w:r>
          </w:p>
        </w:tc>
        <w:tc>
          <w:tcPr>
            <w:tcW w:w="16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55 %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5,213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8,661</w:t>
            </w:r>
          </w:p>
        </w:tc>
        <w:tc>
          <w:tcPr>
            <w:tcW w:w="14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6,754</w:t>
            </w:r>
          </w:p>
        </w:tc>
        <w:tc>
          <w:tcPr>
            <w:tcW w:w="16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27 %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4,312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2,442</w:t>
            </w:r>
          </w:p>
        </w:tc>
        <w:tc>
          <w:tcPr>
            <w:tcW w:w="14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432"/>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Selling, general, and administrative</w:t>
            </w:r>
          </w:p>
        </w:tc>
        <w:tc>
          <w:tcPr>
            <w:tcW w:w="2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20,788</w:t>
            </w:r>
          </w:p>
        </w:tc>
        <w:tc>
          <w:tcPr>
            <w:tcW w:w="160" w:type="dxa"/>
            <w:vAlign w:val="bottom"/>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82 %</w:t>
            </w:r>
          </w:p>
        </w:tc>
        <w:tc>
          <w:tcPr>
            <w:tcW w:w="14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13,102</w:t>
            </w:r>
          </w:p>
        </w:tc>
        <w:tc>
          <w:tcPr>
            <w:tcW w:w="140" w:type="dxa"/>
            <w:vAlign w:val="bottom"/>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6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7,686</w:t>
            </w:r>
          </w:p>
        </w:tc>
        <w:tc>
          <w:tcPr>
            <w:tcW w:w="140" w:type="dxa"/>
            <w:vAlign w:val="bottom"/>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425"/>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27,542</w:t>
            </w:r>
          </w:p>
        </w:tc>
        <w:tc>
          <w:tcPr>
            <w:tcW w:w="16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3"/>
              </w:rPr>
              <w:t>109 %</w:t>
            </w:r>
          </w:p>
        </w:tc>
        <w:tc>
          <w:tcPr>
            <w:tcW w:w="1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17,414</w:t>
            </w:r>
          </w:p>
        </w:tc>
        <w:tc>
          <w:tcPr>
            <w:tcW w:w="14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133 %</w:t>
            </w: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10,128</w:t>
            </w: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09"/>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(54)%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(1,467)</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7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jc w:val="right"/>
              <w:ind w:right="28"/>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18,073 %</w:t>
            </w:r>
          </w:p>
        </w:tc>
        <w:tc>
          <w:tcPr>
            <w:tcW w:w="0" w:type="dxa"/>
            <w:vAlign w:val="bottom"/>
          </w:tcPr>
          <w:p>
            <w:pPr>
              <w:spacing w:after="0"/>
              <w:rPr>
                <w:sz w:val="1"/>
                <w:szCs w:val="1"/>
                <w:color w:val="auto"/>
              </w:rPr>
            </w:pPr>
          </w:p>
        </w:tc>
      </w:tr>
      <w:tr>
        <w:trPr>
          <w:trHeight w:val="210"/>
        </w:trPr>
        <w:tc>
          <w:tcPr>
            <w:tcW w:w="27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(11,856)</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(47)%</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(12,320)</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40" w:type="dxa"/>
            <w:vAlign w:val="bottom"/>
          </w:tcPr>
          <w:p>
            <w:pPr>
              <w:spacing w:after="0"/>
              <w:rPr>
                <w:sz w:val="18"/>
                <w:szCs w:val="18"/>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0"/>
        </w:trPr>
        <w:tc>
          <w:tcPr>
            <w:tcW w:w="2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(11,897)</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(47)%</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(12,302)</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left="60" w:right="299" w:firstLine="648"/>
        <w:spacing w:after="0" w:line="287" w:lineRule="auto"/>
        <w:rPr>
          <w:sz w:val="20"/>
          <w:szCs w:val="20"/>
          <w:color w:val="auto"/>
        </w:rPr>
      </w:pPr>
      <w:r>
        <w:rPr>
          <w:rFonts w:ascii="Arial" w:cs="Arial" w:eastAsia="Arial" w:hAnsi="Arial"/>
          <w:sz w:val="16"/>
          <w:szCs w:val="16"/>
          <w:color w:val="auto"/>
        </w:rPr>
        <w:t>Total revenue increased by $12.2 million, or 93%, to $25.4 million for the three months ended June 30, 2021 as compared to $13.1 million for the three months ended June 30, 2020. Product revenue consisted of sales of instruments totaling $5.8 million and sales of consumables and other products of $12.8 million for the three months ended</w:t>
      </w:r>
    </w:p>
    <w:p>
      <w:pPr>
        <w:spacing w:after="0" w:line="2" w:lineRule="exact"/>
        <w:rPr>
          <w:sz w:val="20"/>
          <w:szCs w:val="20"/>
          <w:color w:val="auto"/>
        </w:rPr>
      </w:pPr>
    </w:p>
    <w:p>
      <w:pPr>
        <w:ind w:left="60" w:right="119"/>
        <w:spacing w:after="0" w:line="285" w:lineRule="auto"/>
        <w:rPr>
          <w:sz w:val="20"/>
          <w:szCs w:val="20"/>
          <w:color w:val="auto"/>
        </w:rPr>
      </w:pPr>
      <w:r>
        <w:rPr>
          <w:rFonts w:ascii="Arial" w:cs="Arial" w:eastAsia="Arial" w:hAnsi="Arial"/>
          <w:sz w:val="16"/>
          <w:szCs w:val="16"/>
          <w:color w:val="auto"/>
        </w:rPr>
        <w:t>June 30, 2021. Product revenue consisted primarily of sales of instruments totaling $2.8 million and sales of consumables and other products of $4.0 million for the three months ended June 30, 2020. The increase in product revenue of $11.9 million was primarily due to the increased ability to install instruments as customer sites reopened from COVID-19 related shutdowns that impacted results from operations during the three months ended June 30, 2020. In addition, as the installed base of instruments increased from June 30, 2020 to June 30, 2021, the consumable sales increased as customers opened from COVID-19 related shutdowns. The decrease in service and other revenue of $0.7 million was primarily due to a decrease in our research services revenue as customers were better able to perform services themselves as their sites reopened from COVID-19 related shutdowns, as well as open headcount within our services personnel. We had $0.1 million and less than $0.1 million in collaboration and license revenue during the three months ended June 30, 2021 and 2020, respectively, related to licensing technology and intellectual property. Grant revenue of $0.9 million consisted of revenue related to WP2 recognized during the three months ended June 30, 2021. We did not have any grant revenue during the three months ended June 30, 2020.</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and Services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Cost of product revenue increased by $2.7 million, or 50%, to $8.1 million for the three months ended</w:t>
      </w:r>
    </w:p>
    <w:p>
      <w:pPr>
        <w:spacing w:after="0" w:line="23" w:lineRule="exact"/>
        <w:rPr>
          <w:sz w:val="20"/>
          <w:szCs w:val="20"/>
          <w:color w:val="auto"/>
        </w:rPr>
      </w:pPr>
    </w:p>
    <w:p>
      <w:pPr>
        <w:ind w:left="60" w:right="59"/>
        <w:spacing w:after="0" w:line="302" w:lineRule="auto"/>
        <w:rPr>
          <w:sz w:val="20"/>
          <w:szCs w:val="20"/>
          <w:color w:val="auto"/>
        </w:rPr>
      </w:pPr>
      <w:r>
        <w:rPr>
          <w:rFonts w:ascii="Arial" w:cs="Arial" w:eastAsia="Arial" w:hAnsi="Arial"/>
          <w:sz w:val="16"/>
          <w:szCs w:val="16"/>
          <w:color w:val="auto"/>
        </w:rPr>
        <w:t>June 30, 2021 as compared to $5.4 million for the three months ended June 30, 2020. The increase was primarily due to our increase in volume of product revenue. Cost of service revenue increased to $3.4 million for the three months ended June 30, 2021 from $2.5 million for the three months ended June 30, 2020. The increase was primarily due to increased</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personnel costs from the build out of our field service organization. Overall cost of goods sold as a percentage of revenue decreased to 45% of total revenue for the three months ended June 30, 2021 as compared to 60% for the three months ended June 30, 2020, primarily as a result of the significant increase in grant revenue, increased manufacturing efficiencies, and an increase in average selling prices of our instruments.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Research and development expense increased by $2.4 million, or 57%, to $6.8 million for the three months ended June 30, 2021 as compared to $4.3 million for the three months ended June 30, 2020. The increase was primarily due to compensation, development, materials, and other expenses related to work under WP2 incurred during the three months ended June 30, 2021, as well as increased overall headcount in research and development.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jc w:val="both"/>
        <w:ind w:left="60" w:right="99" w:firstLine="648"/>
        <w:spacing w:after="0" w:line="263" w:lineRule="auto"/>
        <w:rPr>
          <w:sz w:val="20"/>
          <w:szCs w:val="20"/>
          <w:color w:val="auto"/>
        </w:rPr>
      </w:pPr>
      <w:r>
        <w:rPr>
          <w:rFonts w:ascii="Arial" w:cs="Arial" w:eastAsia="Arial" w:hAnsi="Arial"/>
          <w:sz w:val="18"/>
          <w:szCs w:val="18"/>
          <w:color w:val="auto"/>
        </w:rPr>
        <w:t>Selling, general and administrative expense increased by $7.7 million for the three months ended June 30, 2021 as compared to the same period in 2020. The increase was primarily due to headcount additions in various departments as we build out our organization to support growth.</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 Net and Other Income (Expense), Net</w:t>
      </w:r>
    </w:p>
    <w:p>
      <w:pPr>
        <w:spacing w:after="0" w:line="225"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Interest expense, net and other income (expense), net was income of $1.8 million for the three months ended June 30, 2021, as compared to expense of $0.1 million for the three months ended June 30, 2020, primarily due to other income of $2.1 million recognized during the three months ended June 30, 2021 related to an employee retention tax credit established under the Coronavirus Aid, Relief, and Economic Securities Act (CARES Act).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2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7"/>
          <w:szCs w:val="17"/>
          <w:color w:val="auto"/>
        </w:rPr>
        <w:t>Income tax provision was less than $0.1 million for the three months ended June 30, 2021 as compared to a benefit of less than $0.1 million for the same period in 2020. The change is primarily due to a tax provision recorded on the operating results of our foreign subsidiaries during the three months ended June 30, 2021.</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Six Months Ended June 30, 2021 and June 30, 2020 (dollars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of</w:t>
            </w:r>
          </w:p>
        </w:tc>
        <w:tc>
          <w:tcPr>
            <w:tcW w:w="7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June 30,</w:t>
            </w: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June 30,</w:t>
            </w:r>
          </w:p>
        </w:tc>
        <w:tc>
          <w:tcPr>
            <w:tcW w:w="8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4"/>
                <w:szCs w:val="14"/>
                <w:color w:val="auto"/>
              </w:rPr>
            </w:pPr>
          </w:p>
        </w:tc>
        <w:tc>
          <w:tcPr>
            <w:tcW w:w="960" w:type="dxa"/>
            <w:vAlign w:val="bottom"/>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revenue</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36,924</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70 %</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16,623</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57 %</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$ 20,301</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Service and other revenue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12,057</w:t>
            </w:r>
          </w:p>
        </w:tc>
        <w:tc>
          <w:tcPr>
            <w:tcW w:w="16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23 %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12,079</w:t>
            </w:r>
          </w:p>
        </w:tc>
        <w:tc>
          <w:tcPr>
            <w:tcW w:w="14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42 %</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6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Collaboration and license revenue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Grant revenue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3,233</w:t>
            </w:r>
          </w:p>
        </w:tc>
        <w:tc>
          <w:tcPr>
            <w:tcW w:w="16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6 %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3,233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100 %</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28,857</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100 %</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23,723</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30 %</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40 %</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 revenue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6,763</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13 %</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5,229</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18 %</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182"/>
        </w:trPr>
        <w:tc>
          <w:tcPr>
            <w:tcW w:w="31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8"/>
              </w:rPr>
              <w:t>Total costs of goods sold, services, and</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22,357</w:t>
            </w:r>
          </w:p>
        </w:tc>
        <w:tc>
          <w:tcPr>
            <w:tcW w:w="16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43 %</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16,831</w:t>
            </w:r>
          </w:p>
        </w:tc>
        <w:tc>
          <w:tcPr>
            <w:tcW w:w="14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58 %</w:t>
            </w:r>
          </w:p>
        </w:tc>
        <w:tc>
          <w:tcPr>
            <w:tcW w:w="14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16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30,223</w:t>
            </w:r>
          </w:p>
        </w:tc>
        <w:tc>
          <w:tcPr>
            <w:tcW w:w="16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57 %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12,026</w:t>
            </w:r>
          </w:p>
        </w:tc>
        <w:tc>
          <w:tcPr>
            <w:tcW w:w="14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42 %</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18,197</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13,437</w:t>
            </w:r>
          </w:p>
        </w:tc>
        <w:tc>
          <w:tcPr>
            <w:tcW w:w="16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26 %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8,580</w:t>
            </w:r>
          </w:p>
        </w:tc>
        <w:tc>
          <w:tcPr>
            <w:tcW w:w="14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30 %</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4,857</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40,243</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77 %</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27,375</w:t>
            </w: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95 %</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12,868</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53,680</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102 %</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35,955</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125 %</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17,725</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(328)</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82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5"/>
                <w:szCs w:val="25"/>
                <w:color w:val="auto"/>
                <w:vertAlign w:val="subscript"/>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(381)</w:t>
            </w:r>
          </w:p>
        </w:tc>
        <w:tc>
          <w:tcPr>
            <w:tcW w:w="66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3 %</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1,102 %</w:t>
            </w:r>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(22,002)</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(24,054)</w:t>
            </w:r>
          </w:p>
        </w:tc>
        <w:tc>
          <w:tcPr>
            <w:tcW w:w="140" w:type="dxa"/>
            <w:vAlign w:val="bottom"/>
          </w:tcPr>
          <w:p>
            <w:pPr>
              <w:spacing w:after="0"/>
              <w:rPr>
                <w:sz w:val="18"/>
                <w:szCs w:val="18"/>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(22,001)</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(23,912)</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1,911</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left="60" w:right="439" w:firstLine="648"/>
        <w:spacing w:after="0" w:line="287" w:lineRule="auto"/>
        <w:rPr>
          <w:sz w:val="20"/>
          <w:szCs w:val="20"/>
          <w:color w:val="auto"/>
        </w:rPr>
      </w:pPr>
      <w:r>
        <w:rPr>
          <w:rFonts w:ascii="Arial" w:cs="Arial" w:eastAsia="Arial" w:hAnsi="Arial"/>
          <w:sz w:val="16"/>
          <w:szCs w:val="16"/>
          <w:color w:val="auto"/>
        </w:rPr>
        <w:t>Total revenue increased by $23.7 million, or 82%, to $52.6 million for the six months ended June 30, 2021 as compared to $28.9 million for the six months ended June 30, 2020. Product revenue consisted of sales of instruments totaling $12.8 million and sales of consumables and other products of $24.1 million for the six months ended</w:t>
      </w:r>
    </w:p>
    <w:p>
      <w:pPr>
        <w:spacing w:after="0" w:line="2" w:lineRule="exact"/>
        <w:rPr>
          <w:sz w:val="20"/>
          <w:szCs w:val="20"/>
          <w:color w:val="auto"/>
        </w:rPr>
      </w:pPr>
    </w:p>
    <w:p>
      <w:pPr>
        <w:ind w:left="60" w:right="119"/>
        <w:spacing w:after="0" w:line="267" w:lineRule="auto"/>
        <w:rPr>
          <w:sz w:val="20"/>
          <w:szCs w:val="20"/>
          <w:color w:val="auto"/>
        </w:rPr>
      </w:pPr>
      <w:r>
        <w:rPr>
          <w:rFonts w:ascii="Arial" w:cs="Arial" w:eastAsia="Arial" w:hAnsi="Arial"/>
          <w:sz w:val="17"/>
          <w:szCs w:val="17"/>
          <w:color w:val="auto"/>
        </w:rPr>
        <w:t>June 30, 2021. Product revenue consisted primarily of sales of instruments totaling $6.5 million and sales of consumables and other products of $10.1 million for the six months ended June 30, 2020. The increase in product revenue of $20.3 million was primarily due to the increased ability to install instruments as customer sites reopened from COVID-19 related shutdowns that impacted results from operations during the six months ended June 30, 2020. In addition, as the installed base of instruments increased from June 30, 2020 to June 30, 2021, the consumable sales increased as customers opened from COVID-19 related shutdowns. The decrease in service and other revenue of less than $0.1 million was primarily due to a decrease in our research services revenue as customers were better able to perform services themselves as their sites reopened from COVID-19 related shutdowns, as well as open headcount within our services personnel. We had $0.4 million and $0.2 million in collaboration and license revenue during the six months ended June 30, 2021 and 2020, respectively, related to licensing technology and intellectual property. Grant revenue of $3.2 million consisted of revenue related to WP2 recognized during the six months ended June 30, 2021. We did not have any grant revenue during the six months ended June 30,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and Services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Cost of product revenue increased by $4.0 million, or 34%, to $15.6 million for the six months ended</w:t>
      </w:r>
    </w:p>
    <w:p>
      <w:pPr>
        <w:spacing w:after="0" w:line="23" w:lineRule="exact"/>
        <w:rPr>
          <w:sz w:val="20"/>
          <w:szCs w:val="20"/>
          <w:color w:val="auto"/>
        </w:rPr>
      </w:pPr>
    </w:p>
    <w:p>
      <w:pPr>
        <w:ind w:left="60" w:right="139"/>
        <w:spacing w:after="0" w:line="281" w:lineRule="auto"/>
        <w:rPr>
          <w:sz w:val="20"/>
          <w:szCs w:val="20"/>
          <w:color w:val="auto"/>
        </w:rPr>
      </w:pPr>
      <w:r>
        <w:rPr>
          <w:rFonts w:ascii="Arial" w:cs="Arial" w:eastAsia="Arial" w:hAnsi="Arial"/>
          <w:sz w:val="16"/>
          <w:szCs w:val="16"/>
          <w:color w:val="auto"/>
        </w:rPr>
        <w:t>June 30, 2021 as compared to $11.6 million for the six months ended June 30, 2020. The increase was primarily due to our increase in volume of product revenue. Cost of service revenue increased to $6.8 million for the six months ended</w:t>
      </w:r>
    </w:p>
    <w:p>
      <w:pPr>
        <w:spacing w:after="0" w:line="1" w:lineRule="exact"/>
        <w:rPr>
          <w:sz w:val="20"/>
          <w:szCs w:val="20"/>
          <w:color w:val="auto"/>
        </w:rPr>
      </w:pPr>
    </w:p>
    <w:p>
      <w:pPr>
        <w:ind w:left="60" w:right="239"/>
        <w:spacing w:after="0" w:line="302" w:lineRule="auto"/>
        <w:rPr>
          <w:sz w:val="20"/>
          <w:szCs w:val="20"/>
          <w:color w:val="auto"/>
        </w:rPr>
      </w:pPr>
      <w:r>
        <w:rPr>
          <w:rFonts w:ascii="Arial" w:cs="Arial" w:eastAsia="Arial" w:hAnsi="Arial"/>
          <w:sz w:val="16"/>
          <w:szCs w:val="16"/>
          <w:color w:val="auto"/>
        </w:rPr>
        <w:t>June 30, 2021 from $5.2 million for the six months ended June 30, 2020. The increase was primarily due to increased personnel costs from the build out of our field service organization. Overall cost of goods sold as a percentage of revenue decreased to 43% of total revenue for the six months ended June 30, 2021 as compared to 58% for the six</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months ended June 30, 2020, primarily as a result of the significant increase in grant revenue, increased manufacturing efficiencies, and an increase in average selling prices of our instruments.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left="60" w:right="199" w:firstLine="648"/>
        <w:spacing w:after="0" w:line="279" w:lineRule="auto"/>
        <w:rPr>
          <w:sz w:val="20"/>
          <w:szCs w:val="20"/>
          <w:color w:val="auto"/>
        </w:rPr>
      </w:pPr>
      <w:r>
        <w:rPr>
          <w:rFonts w:ascii="Arial" w:cs="Arial" w:eastAsia="Arial" w:hAnsi="Arial"/>
          <w:sz w:val="17"/>
          <w:szCs w:val="17"/>
          <w:color w:val="auto"/>
        </w:rPr>
        <w:t>Research and development expense increased by $4.9 million, or 57%, to $13.4 million for the six months ended June 30, 2021 as compared to $8.6 million for the six months ended June 30, 2020. The increase was primarily due to compensation, development, materials, and other expenses related to work under WP2 incurred during the six months ended June 30, 2021, as well as increased overall headcount in research and development.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jc w:val="both"/>
        <w:ind w:left="60" w:right="139" w:firstLine="648"/>
        <w:spacing w:after="0" w:line="263" w:lineRule="auto"/>
        <w:rPr>
          <w:sz w:val="20"/>
          <w:szCs w:val="20"/>
          <w:color w:val="auto"/>
        </w:rPr>
      </w:pPr>
      <w:r>
        <w:rPr>
          <w:rFonts w:ascii="Arial" w:cs="Arial" w:eastAsia="Arial" w:hAnsi="Arial"/>
          <w:sz w:val="18"/>
          <w:szCs w:val="18"/>
          <w:color w:val="auto"/>
        </w:rPr>
        <w:t>Selling, general and administrative expense increased by $12.9 million for the six months ended June 30, 2021 as compared to the same period in 2020. The increase was primarily due to headcount additions in various departments as we build out our organization to support growth.</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 Income, Net and Other Income (Expense), Net</w:t>
      </w:r>
    </w:p>
    <w:p>
      <w:pPr>
        <w:spacing w:after="0" w:line="225"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color w:val="auto"/>
        </w:rPr>
        <w:t>Interest (expense) income, net and other income (expense), net was income of $1.5 million for the six months ended June 30, 2021, as compared to expense of $0.1 million for the six months ended June 30, 2020, primarily due to other income of $2.1 million recognized during the six months ended June 30, 2021 related to an employee retention tax credit established under the CARES Act.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ind w:left="60" w:right="379" w:firstLine="648"/>
        <w:spacing w:after="0" w:line="263" w:lineRule="auto"/>
        <w:rPr>
          <w:sz w:val="20"/>
          <w:szCs w:val="20"/>
          <w:color w:val="auto"/>
        </w:rPr>
      </w:pPr>
      <w:r>
        <w:rPr>
          <w:rFonts w:ascii="Arial" w:cs="Arial" w:eastAsia="Arial" w:hAnsi="Arial"/>
          <w:sz w:val="18"/>
          <w:szCs w:val="18"/>
          <w:color w:val="auto"/>
        </w:rPr>
        <w:t>Income tax benefit decreased by $0.1 million for the six months ended June 30, 2021 as compared to the same period in 2020. The change is primarily due to the decrease in the tax benefit recorded on the operating results of our foreign subsidiaries.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70" w:lineRule="exact"/>
        <w:rPr>
          <w:sz w:val="20"/>
          <w:szCs w:val="20"/>
          <w:color w:val="auto"/>
        </w:rPr>
      </w:pPr>
    </w:p>
    <w:p>
      <w:pPr>
        <w:ind w:left="60" w:right="279" w:firstLine="693"/>
        <w:spacing w:after="0" w:line="277" w:lineRule="auto"/>
        <w:rPr>
          <w:sz w:val="20"/>
          <w:szCs w:val="20"/>
          <w:color w:val="auto"/>
        </w:rPr>
      </w:pPr>
      <w:r>
        <w:rPr>
          <w:rFonts w:ascii="Arial" w:cs="Arial" w:eastAsia="Arial" w:hAnsi="Arial"/>
          <w:sz w:val="18"/>
          <w:szCs w:val="18"/>
          <w:color w:val="auto"/>
        </w:rPr>
        <w:t>To date, we have financed our operations principally through equity offerings, borrowings from credit facilities and revenue from our commercial operations.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Equity Offerings</w:t>
      </w:r>
    </w:p>
    <w:p>
      <w:pPr>
        <w:spacing w:after="0" w:line="252"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On August 6, 2020, we entered into an underwriting agreement Leerink and Cowen, as representatives of the several underwriters, relating to an underwritten public offering of approximately 3.0 million shares of common stock, par value $0.001 per share. The underwritten public offering resulted in gross proceeds of $97.6 million. We incurred $6.2 million in issuance costs associated with the underwritten public offering, resulting in net proceeds of $91.4 million.</w:t>
      </w:r>
    </w:p>
    <w:p>
      <w:pPr>
        <w:spacing w:after="0" w:line="157"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On February 3, 2021, we entered into an underwriting agreement with Goldman Sachs &amp; Co. LLC, Leerink, and Cowen, as representatives of the several underwriters, relating to an underwritten public offering of 4,107,142 shares of common stock at a public offering price of $70.00 per share. We received $287.5 million in gross proceeds and approximately $269.7 million in net proceeds.</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Loan Facility with Hercules</w:t>
      </w:r>
    </w:p>
    <w:p>
      <w:pPr>
        <w:spacing w:after="0" w:line="266"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On April 14, 2014, we executed a loan agreement with Hercules Capital, Inc. (Hercules), as subsequently amended most recently in April 2019. As of June 30, 2021 and December 31, 2020, our outstanding long term debt balance was $7.7 million. The interest rate on this term loan was variable based on a calculation of 8% plus the prime rate less 5.25%, with a minimum interest rate of 8%. Interest was to be paid monthly beginning the month following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308" w:lineRule="auto"/>
        <w:rPr>
          <w:sz w:val="20"/>
          <w:szCs w:val="20"/>
          <w:color w:val="auto"/>
        </w:rPr>
      </w:pPr>
      <w:r>
        <w:rPr>
          <w:rFonts w:ascii="Arial" w:cs="Arial" w:eastAsia="Arial" w:hAnsi="Arial"/>
          <w:sz w:val="17"/>
          <w:szCs w:val="17"/>
          <w:color w:val="auto"/>
        </w:rPr>
        <w:t>borrowing date. Under the amended agreement, we are required to pay the loan principal in four equal installments starting July 1, 2021, with the final principal payment and end of term charge to be made on October 1, 2021.</w:t>
      </w:r>
    </w:p>
    <w:p>
      <w:pPr>
        <w:spacing w:after="0" w:line="187"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The loan agreement contains negative covenants restricting our activities, including limitations on dispositions, mergers or acquisitions, incurring indebtedness or liens, paying dividends or making investments and certain other business transactions. There are no financial covenants associated with the loan agreement. The obligations under the loan agreement are subject to acceleration upon the occurrence of specified events of default, including a material adverse change in our business, operations or financial or other condition, which is subjective in nature. We have determined that the risk of subjective acceleration under the material adverse events clause is not probable and therefore have classified the outstanding principal in current and long-term liabilities based on scheduled principal payments.</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Debt principal repayments, including the end of term fees, due as of June 30, 2021 are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9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ending December 31, 2021</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w:t>
            </w:r>
          </w:p>
        </w:tc>
      </w:tr>
      <w:tr>
        <w:trPr>
          <w:trHeight w:val="209"/>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7,738</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our cash flows for each period presented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42"/>
        </w:trPr>
        <w:tc>
          <w:tcPr>
            <w:tcW w:w="67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(20,600)</w:t>
            </w: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(2,129)</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(1,361)</w:t>
            </w: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275,706</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r>
      <w:tr>
        <w:trPr>
          <w:trHeight w:val="210"/>
        </w:trPr>
        <w:tc>
          <w:tcPr>
            <w:tcW w:w="674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249,739</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(20,485)</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We derive cash flows from operations primarily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developed our technology, expanded our business and built our infrastructure and this may continue in the future.</w:t>
      </w:r>
    </w:p>
    <w:p>
      <w:pPr>
        <w:spacing w:after="0" w:line="171"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Net cash used in operating activities was $23.8 million during the six months ended June 30, 2021. The net cash used in operating activities primarily consisted of the net loss of $22.0 million offset by non-cash charges of $7.0 million of stock-based compensation expense and $2.3 million of depreciation and amortization expense. Cash used as a result of changes in operating assets and liabilities of $11.8 million was primarily due to an increase in inventory of $6.8 million, a decrease in accrued compensation and benefits, other accrued expenses and other current liabilities of $3.9 million, and an increase in prepaid expenses and other assets of $3.0 million, offset by a decrease in accounts receivable of $1.7 million.</w:t>
      </w:r>
    </w:p>
    <w:p>
      <w:pPr>
        <w:spacing w:after="0" w:line="164"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Net cash used in operating activities was $20.6 million during the six months ended June 30, 2020. The net cash used in operating activities primarily consisted of the net loss of $23.9 million offset by non-cash charges of $4.6 million of stock-based compensation expense and $2.1 million of depreciation and amortization expense. Cash used as a result of changes in operating assets and liabilities of $3.8 million was primarily due to an increase in inventory of $3.5 million, a decrease in accounts receivable of $1.4 million, a decrease in accrued compensation and benefits, other accrued expenses and other current liabilities of $1.0 million, and a decrease in accounts payable of $1.0 million.</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jc w:val="both"/>
        <w:ind w:left="60" w:right="439" w:firstLine="648"/>
        <w:spacing w:after="0" w:line="263" w:lineRule="auto"/>
        <w:rPr>
          <w:sz w:val="20"/>
          <w:szCs w:val="20"/>
          <w:color w:val="auto"/>
        </w:rPr>
      </w:pPr>
      <w:r>
        <w:rPr>
          <w:rFonts w:ascii="Arial" w:cs="Arial" w:eastAsia="Arial" w:hAnsi="Arial"/>
          <w:sz w:val="18"/>
          <w:szCs w:val="18"/>
          <w:color w:val="auto"/>
        </w:rPr>
        <w:t>Historically, our primary investing activities have consisted of capital expenditures for the purchase of capital equipment to support our expanding infrastructure and work force. We expect to continue to incur additional costs for capital expenditures related to these efforts in future periods.</w:t>
      </w:r>
    </w:p>
    <w:p>
      <w:pPr>
        <w:spacing w:after="0" w:line="184" w:lineRule="exact"/>
        <w:rPr>
          <w:sz w:val="20"/>
          <w:szCs w:val="20"/>
          <w:color w:val="auto"/>
        </w:rPr>
      </w:pPr>
    </w:p>
    <w:p>
      <w:pPr>
        <w:ind w:left="60" w:right="499" w:firstLine="648"/>
        <w:spacing w:after="0" w:line="277" w:lineRule="auto"/>
        <w:rPr>
          <w:sz w:val="20"/>
          <w:szCs w:val="20"/>
          <w:color w:val="auto"/>
        </w:rPr>
      </w:pPr>
      <w:r>
        <w:rPr>
          <w:rFonts w:ascii="Arial" w:cs="Arial" w:eastAsia="Arial" w:hAnsi="Arial"/>
          <w:sz w:val="18"/>
          <w:szCs w:val="18"/>
          <w:color w:val="auto"/>
        </w:rPr>
        <w:t>We used $2.1 million of cash during the six months ended June 30, 2021, primarily related to $7.3 million in purchases of property and equipment, offset by $5.2 million in grant proceeds related to WP2.</w:t>
      </w:r>
    </w:p>
    <w:p>
      <w:pPr>
        <w:spacing w:after="0" w:line="170"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We used $1.4 million of cash in investing activities during the six months ended June 30, 2020, for the purchase of property and equipment.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Historically, we have financed our operations principally through private placements of our stock, borrowings from credit facilities, and revenues from our commercial operations.</w:t>
      </w:r>
    </w:p>
    <w:p>
      <w:pPr>
        <w:spacing w:after="0" w:line="170" w:lineRule="exact"/>
        <w:rPr>
          <w:sz w:val="20"/>
          <w:szCs w:val="20"/>
          <w:color w:val="auto"/>
        </w:rPr>
      </w:pPr>
    </w:p>
    <w:p>
      <w:pPr>
        <w:jc w:val="both"/>
        <w:ind w:left="60" w:right="279" w:firstLine="648"/>
        <w:spacing w:after="0" w:line="263" w:lineRule="auto"/>
        <w:rPr>
          <w:sz w:val="20"/>
          <w:szCs w:val="20"/>
          <w:color w:val="auto"/>
        </w:rPr>
      </w:pPr>
      <w:r>
        <w:rPr>
          <w:rFonts w:ascii="Arial" w:cs="Arial" w:eastAsia="Arial" w:hAnsi="Arial"/>
          <w:sz w:val="18"/>
          <w:szCs w:val="18"/>
          <w:color w:val="auto"/>
        </w:rPr>
        <w:t>Financing activities provided $275.7 million of cash during the six months ended June 30, 2021, primarily from $269.7 million in net proceeds from our underwritten public offering during the first quarter of 2021, and $5.5 million in proceeds from common stock option exercises.</w:t>
      </w:r>
    </w:p>
    <w:p>
      <w:pPr>
        <w:spacing w:after="0" w:line="184"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Financing activities provided $1.5 million of cash during the six months ended June 30, 2020, primarily from $1.1 million in proceeds from stock options exercised and $0.4 million in proceeds from stock purchases through our 2017 ESPP.</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66"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Other than the third quarter of 2020, since inception, we have incurred net losses, and we also expect that our operating expenses will increase as we continue to increase our marketing efforts to drive adoption of our commercial products. Additionally, as a public company, we have incurred and will continue to incur significant audit, legal and other expenses that we did not incur as a private company. Our liquidity requirements have historically consisted, and we expect that they will continue to consist, of sales and marketing expenses, research and development expenses, working capital, debt service and general corporate expenses.</w:t>
      </w:r>
    </w:p>
    <w:p>
      <w:pPr>
        <w:spacing w:after="0" w:line="218"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We believe cash generated from commercial sales, our current cash and cash equivalents, and interest income we earn on these balances will be sufficient to meet our anticipated operating cash requirements for at least the next 12 months. In the future, we expect our operating and capital expenditures to increase as we increase headcount, expand our sales and marketing activities and grow our customer base. Our estimates of the period of time through which our financial resources will be adequate to support our operations and the costs to support research and development and our sales and marketing activities are forward-looking statements and involve risks and uncertainties and actual results could vary materially and negatively as a result of a number of factors, including the factors discussed in Item 1A, "Risk Factors" of our Annual Report on Form 10-K for the year ended December 31, 2020. We have based our estimates on assumptions that may prove to be wrong and we could utilize our available capital resources sooner than we currently expect. Our future funding requirements will depend on many factors, including:</w:t>
      </w:r>
    </w:p>
    <w:p>
      <w:pPr>
        <w:spacing w:after="0" w:line="195" w:lineRule="exact"/>
        <w:rPr>
          <w:sz w:val="20"/>
          <w:szCs w:val="20"/>
          <w:color w:val="auto"/>
        </w:rPr>
      </w:pPr>
    </w:p>
    <w:p>
      <w:pPr>
        <w:ind w:left="1380" w:hanging="655"/>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of our products, including our SP-X and HD-X instruments;</w:t>
      </w:r>
    </w:p>
    <w:p>
      <w:pPr>
        <w:spacing w:after="0" w:line="23" w:lineRule="exact"/>
        <w:rPr>
          <w:rFonts w:ascii="Arial" w:cs="Arial" w:eastAsia="Arial" w:hAnsi="Arial"/>
          <w:sz w:val="18"/>
          <w:szCs w:val="18"/>
          <w:color w:val="auto"/>
        </w:rPr>
      </w:pPr>
    </w:p>
    <w:p>
      <w:pPr>
        <w:ind w:left="1380" w:hanging="655"/>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enter into collaborations in the future, and the success of any such collaborations;</w:t>
      </w:r>
    </w:p>
    <w:p>
      <w:pPr>
        <w:spacing w:after="0" w:line="9" w:lineRule="exact"/>
        <w:rPr>
          <w:rFonts w:ascii="Arial" w:cs="Arial" w:eastAsia="Arial" w:hAnsi="Arial"/>
          <w:sz w:val="18"/>
          <w:szCs w:val="18"/>
          <w:color w:val="auto"/>
        </w:rPr>
      </w:pPr>
    </w:p>
    <w:p>
      <w:pPr>
        <w:ind w:left="1380" w:right="179" w:hanging="655"/>
        <w:spacing w:after="0" w:line="250"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timing of potential regulatory clearances or approvals that may be required in the future for our products;</w:t>
      </w:r>
    </w:p>
    <w:p>
      <w:pPr>
        <w:ind w:left="1380" w:hanging="655"/>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the COVID-19 pandemic; and</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If the conditions for raising capital are favorable, we may seek to finance future cash needs through public or private equity or debt offerings or other financings. On November 6, 2020, we filed an automatically effective shelf registration statement with the SEC. Each issuance of securities under the shelf registration statement will require the filing of a prospectus supplement identifying the amount and terms of securities to be issued. The registration statement does not limit the amount of securities that may be issued thereunder. Our ability to issue securities is subject to market conditions and other factors. This registration statement will expire on November 6, 2023, three years after its date of effectiveness. However, 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or cease operations.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As of June 30, 2021, there have been no material changes to our contractual obligations and commitments from those described under “Management’s Discussion and Analysis of Financial Condition and Results of Operations” included in our Annual Report on Form 10-K for the year ended December 31,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Significant Judgments and Estimates</w:t>
      </w:r>
    </w:p>
    <w:p>
      <w:pPr>
        <w:spacing w:after="0" w:line="225"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or U.S. GAAP, requires management to make estimates and assumptions that impact the reported amounts of assets, liabilities, revenues, and expenses and the disclosure of assets and liabilities in our financial statements and accompanying notes. The most significant assumptions used in the financial statements are the underlying assumptions used in revenue recognition, fair value of assets acquired and liabilities assumed in acquisitions, valuation allowances recorded against deferred tax assets, and valuation of inventory. We base estimates and assumptions on historical experience when available and on various factors that we determined to be reasonable under the circumstances. We evaluate our estimates and assumptions on an ongoing basis. Our actual results may differ from these estimates under different assumptions or conditions.</w:t>
      </w:r>
    </w:p>
    <w:p>
      <w:pPr>
        <w:spacing w:after="0" w:line="196"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Our critical accounting policies and significant estimates that involve a higher degree of judgment and complexity are described under “Management’s Discussion and Analysis of Financial Condition and Results of Operations—Critical Accounting Policies, Significant Judgments and Estimates” included in our Annual Report on Form 10-K for the year ended December 31, 2020. We are considered to be an “emerging growth company” (EGC) as defined in the Jumpstart Our Business Startups Act of 2012, as amended (JOBS Act). The JOBS Act provides that an EGC can take advantage of an extended transition period for complying with new or revised accounting standards. Thus, an EGC can delay the adoption of certain accounting standards until those standards would otherwise apply to private companies. Because the market value of our common stock that was held by non-affiliates exceeded $700 million as of June 30, 2021, we will cease to be an EGC as of December 31, 2021. As a result, starting in 2022, we will be required to adopt new or revised accounting standards on the relevant dates on which adoption of such standards is required for other public companies.</w:t>
      </w:r>
    </w:p>
    <w:p>
      <w:pPr>
        <w:spacing w:after="0" w:line="168"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disclosed therein, with the exception of our adoption of recent accounting pronouncements, as discussed below.</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 xml:space="preserve">We adopted the Financial Accounting Standards Board (FASB) Accounting Standards Update (ASU) No. 2016-13, </w:t>
      </w:r>
      <w:r>
        <w:rPr>
          <w:rFonts w:ascii="Arial" w:cs="Arial" w:eastAsia="Arial" w:hAnsi="Arial"/>
          <w:sz w:val="18"/>
          <w:szCs w:val="18"/>
          <w:i w:val="1"/>
          <w:iCs w:val="1"/>
          <w:color w:val="auto"/>
        </w:rPr>
        <w:t>Financial Instruments — Credit Losses: Measurement of Credit Losses on Financial Instruments (ASU 2016-13)</w:t>
      </w:r>
      <w:r>
        <w:rPr>
          <w:rFonts w:ascii="Arial" w:cs="Arial" w:eastAsia="Arial" w:hAnsi="Arial"/>
          <w:sz w:val="18"/>
          <w:szCs w:val="18"/>
          <w:color w:val="auto"/>
        </w:rPr>
        <w:t>. See Notes 2 and 7 to our unaudited financial statements included elsewhere in this Quarterly Report on Form 10-Q for more information.</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 xml:space="preserve">We adopted the FASB ASU No. 2018-15, </w:t>
      </w:r>
      <w:r>
        <w:rPr>
          <w:rFonts w:ascii="Arial" w:cs="Arial" w:eastAsia="Arial" w:hAnsi="Arial"/>
          <w:sz w:val="17"/>
          <w:szCs w:val="17"/>
          <w:i w:val="1"/>
          <w:iCs w:val="1"/>
          <w:color w:val="auto"/>
        </w:rPr>
        <w:t>Intangibles - Goodwill and Other - Internal-Use Software (Subtopic</w:t>
      </w:r>
    </w:p>
    <w:p>
      <w:pPr>
        <w:spacing w:after="0" w:line="35" w:lineRule="exact"/>
        <w:rPr>
          <w:sz w:val="20"/>
          <w:szCs w:val="20"/>
          <w:color w:val="auto"/>
        </w:rPr>
      </w:pPr>
    </w:p>
    <w:p>
      <w:pPr>
        <w:jc w:val="both"/>
        <w:ind w:left="60" w:right="179"/>
        <w:spacing w:after="0" w:line="255" w:lineRule="auto"/>
        <w:rPr>
          <w:sz w:val="20"/>
          <w:szCs w:val="20"/>
          <w:color w:val="auto"/>
        </w:rPr>
      </w:pPr>
      <w:r>
        <w:rPr>
          <w:rFonts w:ascii="Arial" w:cs="Arial" w:eastAsia="Arial" w:hAnsi="Arial"/>
          <w:sz w:val="18"/>
          <w:szCs w:val="18"/>
          <w:i w:val="1"/>
          <w:iCs w:val="1"/>
          <w:color w:val="auto"/>
        </w:rPr>
        <w:t>350-40): Customer’s Accounting for Implementation Costs Incurred in a Cloud Computing Arrangement That Is a Service Contract (ASU 2018-15)</w:t>
      </w:r>
      <w:r>
        <w:rPr>
          <w:rFonts w:ascii="Arial" w:cs="Arial" w:eastAsia="Arial" w:hAnsi="Arial"/>
          <w:sz w:val="18"/>
          <w:szCs w:val="18"/>
          <w:color w:val="auto"/>
        </w:rPr>
        <w:t>. See Note 2 to our unaudited financial statements included elsewhere in this Quarterly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10-Q for more information.</w:t>
      </w:r>
    </w:p>
    <w:p>
      <w:pPr>
        <w:spacing w:after="0" w:line="190" w:lineRule="exact"/>
        <w:rPr>
          <w:sz w:val="20"/>
          <w:szCs w:val="20"/>
          <w:color w:val="auto"/>
        </w:rPr>
      </w:pPr>
    </w:p>
    <w:p>
      <w:pPr>
        <w:jc w:val="both"/>
        <w:ind w:left="60" w:right="159" w:firstLine="648"/>
        <w:spacing w:after="0" w:line="342" w:lineRule="auto"/>
        <w:rPr>
          <w:sz w:val="20"/>
          <w:szCs w:val="20"/>
          <w:color w:val="auto"/>
        </w:rPr>
      </w:pPr>
      <w:r>
        <w:rPr>
          <w:rFonts w:ascii="Arial" w:cs="Arial" w:eastAsia="Arial" w:hAnsi="Arial"/>
          <w:sz w:val="16"/>
          <w:szCs w:val="16"/>
          <w:color w:val="auto"/>
        </w:rPr>
        <w:t xml:space="preserve">We adopted the FASB ASU No. 2019-12, </w:t>
      </w:r>
      <w:r>
        <w:rPr>
          <w:rFonts w:ascii="Arial" w:cs="Arial" w:eastAsia="Arial" w:hAnsi="Arial"/>
          <w:sz w:val="16"/>
          <w:szCs w:val="16"/>
          <w:i w:val="1"/>
          <w:iCs w:val="1"/>
          <w:color w:val="auto"/>
        </w:rPr>
        <w:t>Simplifying the Accounting for Income Taxes (ASU 2019-12)</w:t>
      </w:r>
      <w:r>
        <w:rPr>
          <w:rFonts w:ascii="Arial" w:cs="Arial" w:eastAsia="Arial" w:hAnsi="Arial"/>
          <w:sz w:val="16"/>
          <w:szCs w:val="16"/>
          <w:color w:val="auto"/>
        </w:rPr>
        <w:t>. See Note 2 to our unaudited financial statements included elsewhere in this Quarterly Report on Form 10-Q for more information.</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At June 30, 2021, there have been no material changes to the market risk information described under “Quantitative and Qualitative Disclosures About Market Risk” included in the Annual Report on Form 10-K for the year ended December 31,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ind w:left="60" w:right="99" w:firstLine="638"/>
        <w:spacing w:after="0" w:line="290" w:lineRule="auto"/>
        <w:tabs>
          <w:tab w:leader="none" w:pos="953"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Our principal executive officer and principal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after evaluating the effectiveness of our disclosure controls and procedures (as defined in Rules 13a-15(e) and 15d-15(e) of the Securities Exchange Act of 1934, as amended (the Exchange Act) as of the end of the period covered by this Quarterly Report on Form 10-Q,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65" w:lineRule="exact"/>
        <w:rPr>
          <w:rFonts w:ascii="Arial" w:cs="Arial" w:eastAsia="Arial" w:hAnsi="Arial"/>
          <w:sz w:val="16"/>
          <w:szCs w:val="16"/>
          <w:color w:val="auto"/>
        </w:rPr>
      </w:pPr>
    </w:p>
    <w:p>
      <w:pPr>
        <w:ind w:left="60" w:right="139" w:firstLine="638"/>
        <w:spacing w:after="0" w:line="259" w:lineRule="auto"/>
        <w:tabs>
          <w:tab w:leader="none" w:pos="963"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identified in connection with the evaluation of such internal control that occurred during the three months ended June 30, 2021 that have materially affected, or are reasonably likely to materially affect, our internal control over financial reporting.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There have been no material changes to the risk factors described in our Annual Report on Form 10-K for the year ended December 31, 2020, filed with the SEC on March 5,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6519"/>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647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Incorporated by</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5"/>
              </w:rPr>
              <w:t>SEC File/</w:t>
            </w:r>
          </w:p>
        </w:tc>
      </w:tr>
      <w:tr>
        <w:trPr>
          <w:trHeight w:val="189"/>
        </w:trPr>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Filed</w:t>
            </w: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Reference herein from</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Reg.</w:t>
            </w:r>
          </w:p>
        </w:tc>
      </w:tr>
      <w:tr>
        <w:trPr>
          <w:trHeight w:val="195"/>
        </w:trPr>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Number</w:t>
            </w: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60" w:type="dxa"/>
            <w:vAlign w:val="bottom"/>
            <w:gridSpan w:val="14"/>
          </w:tcPr>
          <w:p>
            <w:pPr>
              <w:ind w:left="220"/>
              <w:spacing w:after="0"/>
              <w:rPr>
                <w:sz w:val="20"/>
                <w:szCs w:val="20"/>
                <w:color w:val="auto"/>
              </w:rPr>
            </w:pPr>
            <w:r>
              <w:rPr>
                <w:rFonts w:ascii="Arial" w:cs="Arial" w:eastAsia="Arial" w:hAnsi="Arial"/>
                <w:sz w:val="14"/>
                <w:szCs w:val="14"/>
                <w:b w:val="1"/>
                <w:bCs w:val="1"/>
                <w:color w:val="auto"/>
              </w:rPr>
              <w:t>Exhibit Description</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Herewith</w:t>
            </w: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Form or Schedule</w:t>
            </w: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Filing Date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r>
      <w:tr>
        <w:trPr>
          <w:trHeight w:val="188"/>
        </w:trPr>
        <w:tc>
          <w:tcPr>
            <w:tcW w:w="68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10.1</w:t>
            </w:r>
          </w:p>
        </w:tc>
        <w:tc>
          <w:tcPr>
            <w:tcW w:w="920" w:type="dxa"/>
            <w:vAlign w:val="bottom"/>
          </w:tcPr>
          <w:p>
            <w:pPr>
              <w:spacing w:after="0"/>
              <w:rPr>
                <w:sz w:val="16"/>
                <w:szCs w:val="16"/>
                <w:color w:val="auto"/>
              </w:rPr>
            </w:pPr>
          </w:p>
        </w:tc>
        <w:tc>
          <w:tcPr>
            <w:tcW w:w="2700" w:type="dxa"/>
            <w:vAlign w:val="bottom"/>
            <w:tcBorders>
              <w:top w:val="single" w:sz="8" w:color="auto"/>
              <w:bottom w:val="single" w:sz="8" w:color="0000EE"/>
            </w:tcBorders>
            <w:gridSpan w:val="9"/>
          </w:tcPr>
          <w:p>
            <w:pPr>
              <w:spacing w:after="0" w:line="189" w:lineRule="exact"/>
              <w:rPr>
                <w:rFonts w:ascii="Arial" w:cs="Arial" w:eastAsia="Arial" w:hAnsi="Arial"/>
                <w:sz w:val="18"/>
                <w:szCs w:val="18"/>
                <w:color w:val="0000EE"/>
                <w:w w:val="90"/>
              </w:rPr>
            </w:pPr>
            <w:hyperlink r:id="rId56">
              <w:r>
                <w:rPr>
                  <w:rFonts w:ascii="Arial" w:cs="Arial" w:eastAsia="Arial" w:hAnsi="Arial"/>
                  <w:sz w:val="18"/>
                  <w:szCs w:val="18"/>
                  <w:color w:val="0000EE"/>
                  <w:w w:val="90"/>
                </w:rPr>
                <w:t>Employment Agreement between Dr.</w:t>
              </w:r>
            </w:hyperlink>
          </w:p>
        </w:tc>
        <w:tc>
          <w:tcPr>
            <w:tcW w:w="160" w:type="dxa"/>
            <w:vAlign w:val="bottom"/>
            <w:tcBorders>
              <w:top w:val="single" w:sz="8" w:color="auto"/>
            </w:tcBorders>
            <w:gridSpan w:val="5"/>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X</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ind w:right="36"/>
              <w:spacing w:after="0" w:line="189" w:lineRule="exact"/>
              <w:rPr>
                <w:sz w:val="20"/>
                <w:szCs w:val="20"/>
                <w:color w:val="auto"/>
              </w:rPr>
            </w:pPr>
            <w:r>
              <w:rPr>
                <w:rFonts w:ascii="Arial" w:cs="Arial" w:eastAsia="Arial" w:hAnsi="Arial"/>
                <w:sz w:val="18"/>
                <w:szCs w:val="18"/>
                <w:color w:val="auto"/>
                <w:w w:val="87"/>
              </w:rPr>
              <w:t>5/11/2021</w:t>
            </w:r>
          </w:p>
        </w:tc>
        <w:tc>
          <w:tcPr>
            <w:tcW w:w="220" w:type="dxa"/>
            <w:vAlign w:val="bottom"/>
          </w:tcPr>
          <w:p>
            <w:pPr>
              <w:spacing w:after="0"/>
              <w:rPr>
                <w:sz w:val="16"/>
                <w:szCs w:val="16"/>
                <w:color w:val="auto"/>
              </w:rPr>
            </w:pPr>
          </w:p>
        </w:tc>
        <w:tc>
          <w:tcPr>
            <w:tcW w:w="6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001-</w:t>
            </w: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40" w:type="dxa"/>
            <w:vAlign w:val="bottom"/>
            <w:tcBorders>
              <w:bottom w:val="single" w:sz="8" w:color="0000EE"/>
            </w:tcBorders>
            <w:gridSpan w:val="8"/>
          </w:tcPr>
          <w:p>
            <w:pPr>
              <w:spacing w:after="0"/>
              <w:rPr>
                <w:rFonts w:ascii="Arial" w:cs="Arial" w:eastAsia="Arial" w:hAnsi="Arial"/>
                <w:sz w:val="18"/>
                <w:szCs w:val="18"/>
                <w:color w:val="0000EE"/>
                <w:w w:val="89"/>
              </w:rPr>
            </w:pPr>
            <w:hyperlink r:id="rId56">
              <w:r>
                <w:rPr>
                  <w:rFonts w:ascii="Arial" w:cs="Arial" w:eastAsia="Arial" w:hAnsi="Arial"/>
                  <w:sz w:val="18"/>
                  <w:szCs w:val="18"/>
                  <w:color w:val="0000EE"/>
                  <w:w w:val="89"/>
                </w:rPr>
                <w:t>Masoud Toloue and the Company</w:t>
              </w:r>
            </w:hyperlink>
          </w:p>
        </w:tc>
        <w:tc>
          <w:tcPr>
            <w:tcW w:w="620" w:type="dxa"/>
            <w:vAlign w:val="bottom"/>
            <w:gridSpan w:val="7"/>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38319</w:t>
            </w: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60" w:type="dxa"/>
            <w:vAlign w:val="bottom"/>
            <w:gridSpan w:val="15"/>
          </w:tcPr>
          <w:p>
            <w:pPr>
              <w:spacing w:after="0"/>
              <w:rPr>
                <w:rFonts w:ascii="Arial" w:cs="Arial" w:eastAsia="Arial" w:hAnsi="Arial"/>
                <w:sz w:val="18"/>
                <w:szCs w:val="18"/>
                <w:color w:val="0000EE"/>
              </w:rPr>
            </w:pPr>
            <w:hyperlink r:id="rId56">
              <w:r>
                <w:rPr>
                  <w:rFonts w:ascii="Arial" w:cs="Arial" w:eastAsia="Arial" w:hAnsi="Arial"/>
                  <w:sz w:val="18"/>
                  <w:szCs w:val="18"/>
                  <w:color w:val="0000EE"/>
                </w:rPr>
                <w:t>dated May 10, 2021.</w:t>
              </w:r>
            </w:hyperlink>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6"/>
        </w:trPr>
        <w:tc>
          <w:tcPr>
            <w:tcW w:w="680" w:type="dxa"/>
            <w:vAlign w:val="bottom"/>
          </w:tcPr>
          <w:p>
            <w:pPr>
              <w:ind w:left="20"/>
              <w:spacing w:after="0"/>
              <w:rPr>
                <w:sz w:val="20"/>
                <w:szCs w:val="20"/>
                <w:color w:val="auto"/>
              </w:rPr>
            </w:pPr>
            <w:r>
              <w:rPr>
                <w:rFonts w:ascii="Arial" w:cs="Arial" w:eastAsia="Arial" w:hAnsi="Arial"/>
                <w:sz w:val="18"/>
                <w:szCs w:val="18"/>
                <w:color w:val="auto"/>
              </w:rPr>
              <w:t>10.2</w:t>
            </w:r>
          </w:p>
        </w:tc>
        <w:tc>
          <w:tcPr>
            <w:tcW w:w="920" w:type="dxa"/>
            <w:vAlign w:val="bottom"/>
          </w:tcPr>
          <w:p>
            <w:pPr>
              <w:spacing w:after="0"/>
              <w:rPr>
                <w:sz w:val="24"/>
                <w:szCs w:val="24"/>
                <w:color w:val="auto"/>
              </w:rPr>
            </w:pPr>
          </w:p>
        </w:tc>
        <w:tc>
          <w:tcPr>
            <w:tcW w:w="3060" w:type="dxa"/>
            <w:vAlign w:val="bottom"/>
            <w:gridSpan w:val="15"/>
          </w:tcPr>
          <w:p>
            <w:pPr>
              <w:spacing w:after="0"/>
              <w:rPr>
                <w:rFonts w:ascii="Arial" w:cs="Arial" w:eastAsia="Arial" w:hAnsi="Arial"/>
                <w:sz w:val="18"/>
                <w:szCs w:val="18"/>
                <w:color w:val="0000EE"/>
              </w:rPr>
            </w:pPr>
            <w:hyperlink r:id="rId57">
              <w:r>
                <w:rPr>
                  <w:rFonts w:ascii="Arial" w:cs="Arial" w:eastAsia="Arial" w:hAnsi="Arial"/>
                  <w:sz w:val="18"/>
                  <w:szCs w:val="18"/>
                  <w:color w:val="0000EE"/>
                </w:rPr>
                <w:t>Employment Agreement between</w:t>
              </w:r>
            </w:hyperlink>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rPr>
              <w:t>X</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w w:val="87"/>
              </w:rPr>
              <w:t>6/28/2021</w:t>
            </w:r>
          </w:p>
        </w:tc>
        <w:tc>
          <w:tcPr>
            <w:tcW w:w="2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001-</w:t>
            </w:r>
          </w:p>
        </w:tc>
      </w:tr>
      <w:tr>
        <w:trPr>
          <w:trHeight w:val="20"/>
        </w:trPr>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40" w:type="dxa"/>
            <w:vAlign w:val="bottom"/>
            <w:tcBorders>
              <w:bottom w:val="single" w:sz="8" w:color="0000EE"/>
            </w:tcBorders>
            <w:gridSpan w:val="13"/>
          </w:tcPr>
          <w:p>
            <w:pPr>
              <w:spacing w:after="0"/>
              <w:rPr>
                <w:rFonts w:ascii="Arial" w:cs="Arial" w:eastAsia="Arial" w:hAnsi="Arial"/>
                <w:sz w:val="18"/>
                <w:szCs w:val="18"/>
                <w:color w:val="0000EE"/>
                <w:w w:val="90"/>
              </w:rPr>
            </w:pPr>
            <w:hyperlink r:id="rId57">
              <w:r>
                <w:rPr>
                  <w:rFonts w:ascii="Arial" w:cs="Arial" w:eastAsia="Arial" w:hAnsi="Arial"/>
                  <w:sz w:val="18"/>
                  <w:szCs w:val="18"/>
                  <w:color w:val="0000EE"/>
                  <w:w w:val="90"/>
                </w:rPr>
                <w:t>Michael Doyle and the Company dated</w:t>
              </w:r>
            </w:hyperlink>
          </w:p>
        </w:tc>
        <w:tc>
          <w:tcPr>
            <w:tcW w:w="220" w:type="dxa"/>
            <w:vAlign w:val="bottom"/>
            <w:gridSpan w:val="2"/>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38319</w:t>
            </w: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Borders>
              <w:bottom w:val="single" w:sz="8" w:color="0000EE"/>
            </w:tcBorders>
            <w:gridSpan w:val="2"/>
          </w:tcPr>
          <w:p>
            <w:pPr>
              <w:spacing w:after="0"/>
              <w:rPr>
                <w:rFonts w:ascii="Arial" w:cs="Arial" w:eastAsia="Arial" w:hAnsi="Arial"/>
                <w:sz w:val="18"/>
                <w:szCs w:val="18"/>
                <w:color w:val="0000EE"/>
                <w:w w:val="87"/>
              </w:rPr>
            </w:pPr>
            <w:hyperlink r:id="rId57">
              <w:r>
                <w:rPr>
                  <w:rFonts w:ascii="Arial" w:cs="Arial" w:eastAsia="Arial" w:hAnsi="Arial"/>
                  <w:sz w:val="18"/>
                  <w:szCs w:val="18"/>
                  <w:color w:val="0000EE"/>
                  <w:w w:val="87"/>
                </w:rPr>
                <w:t>June 22, 2021.</w:t>
              </w:r>
            </w:hyperlink>
          </w:p>
        </w:tc>
        <w:tc>
          <w:tcPr>
            <w:tcW w:w="2000" w:type="dxa"/>
            <w:vAlign w:val="bottom"/>
            <w:gridSpan w:val="13"/>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466"/>
        </w:trPr>
        <w:tc>
          <w:tcPr>
            <w:tcW w:w="680" w:type="dxa"/>
            <w:vAlign w:val="bottom"/>
          </w:tcPr>
          <w:p>
            <w:pPr>
              <w:ind w:left="20"/>
              <w:spacing w:after="0"/>
              <w:rPr>
                <w:sz w:val="20"/>
                <w:szCs w:val="20"/>
                <w:color w:val="auto"/>
              </w:rPr>
            </w:pPr>
            <w:r>
              <w:rPr>
                <w:rFonts w:ascii="Arial" w:cs="Arial" w:eastAsia="Arial" w:hAnsi="Arial"/>
                <w:sz w:val="18"/>
                <w:szCs w:val="18"/>
                <w:color w:val="auto"/>
              </w:rPr>
              <w:t>31.1</w:t>
            </w:r>
          </w:p>
        </w:tc>
        <w:tc>
          <w:tcPr>
            <w:tcW w:w="920" w:type="dxa"/>
            <w:vAlign w:val="bottom"/>
          </w:tcPr>
          <w:p>
            <w:pPr>
              <w:spacing w:after="0"/>
              <w:rPr>
                <w:sz w:val="24"/>
                <w:szCs w:val="24"/>
                <w:color w:val="auto"/>
              </w:rPr>
            </w:pPr>
          </w:p>
        </w:tc>
        <w:tc>
          <w:tcPr>
            <w:tcW w:w="2840" w:type="dxa"/>
            <w:vAlign w:val="bottom"/>
            <w:tcBorders>
              <w:bottom w:val="single" w:sz="8" w:color="0000EE"/>
            </w:tcBorders>
            <w:gridSpan w:val="13"/>
          </w:tcPr>
          <w:p>
            <w:pP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Certification of the Principal Executive</w:t>
              </w:r>
            </w:hyperlink>
          </w:p>
        </w:tc>
        <w:tc>
          <w:tcPr>
            <w:tcW w:w="220" w:type="dxa"/>
            <w:vAlign w:val="bottom"/>
            <w:gridSpan w:val="2"/>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60" w:type="dxa"/>
            <w:vAlign w:val="bottom"/>
            <w:gridSpan w:val="1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Officer pursuant to Section 302 of the</w:t>
              </w:r>
            </w:hyperlink>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720" w:type="dxa"/>
            <w:vAlign w:val="bottom"/>
            <w:tcBorders>
              <w:top w:val="single" w:sz="8" w:color="0000EE"/>
            </w:tcBorders>
            <w:gridSpan w:val="1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Sarbanes-Oxley Act of 2002.</w:t>
              </w:r>
            </w:hyperlink>
          </w:p>
        </w:tc>
        <w:tc>
          <w:tcPr>
            <w:tcW w:w="340" w:type="dxa"/>
            <w:vAlign w:val="bottom"/>
            <w:gridSpan w:val="5"/>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6"/>
        </w:trPr>
        <w:tc>
          <w:tcPr>
            <w:tcW w:w="680" w:type="dxa"/>
            <w:vAlign w:val="bottom"/>
          </w:tcPr>
          <w:p>
            <w:pPr>
              <w:ind w:left="20"/>
              <w:spacing w:after="0"/>
              <w:rPr>
                <w:sz w:val="20"/>
                <w:szCs w:val="20"/>
                <w:color w:val="auto"/>
              </w:rPr>
            </w:pPr>
            <w:r>
              <w:rPr>
                <w:rFonts w:ascii="Arial" w:cs="Arial" w:eastAsia="Arial" w:hAnsi="Arial"/>
                <w:sz w:val="18"/>
                <w:szCs w:val="18"/>
                <w:color w:val="auto"/>
              </w:rPr>
              <w:t>31.2</w:t>
            </w:r>
          </w:p>
        </w:tc>
        <w:tc>
          <w:tcPr>
            <w:tcW w:w="920" w:type="dxa"/>
            <w:vAlign w:val="bottom"/>
          </w:tcPr>
          <w:p>
            <w:pPr>
              <w:spacing w:after="0"/>
              <w:rPr>
                <w:sz w:val="24"/>
                <w:szCs w:val="24"/>
                <w:color w:val="auto"/>
              </w:rPr>
            </w:pPr>
          </w:p>
        </w:tc>
        <w:tc>
          <w:tcPr>
            <w:tcW w:w="3060" w:type="dxa"/>
            <w:vAlign w:val="bottom"/>
            <w:gridSpan w:val="1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Certification of the Principal Financial</w:t>
              </w:r>
            </w:hyperlink>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780" w:type="dxa"/>
            <w:vAlign w:val="bottom"/>
            <w:tcBorders>
              <w:top w:val="single" w:sz="8" w:color="0000EE"/>
            </w:tcBorders>
            <w:gridSpan w:val="11"/>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Officer pursuant to Section 302 of the</w:t>
              </w:r>
            </w:hyperlink>
          </w:p>
        </w:tc>
        <w:tc>
          <w:tcPr>
            <w:tcW w:w="280" w:type="dxa"/>
            <w:vAlign w:val="bottom"/>
            <w:gridSpan w:val="4"/>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720" w:type="dxa"/>
            <w:vAlign w:val="bottom"/>
            <w:tcBorders>
              <w:top w:val="single" w:sz="8" w:color="0000EE"/>
            </w:tcBorders>
            <w:gridSpan w:val="1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Sarbanes-Oxley Act of 2002.</w:t>
              </w:r>
            </w:hyperlink>
          </w:p>
        </w:tc>
        <w:tc>
          <w:tcPr>
            <w:tcW w:w="340" w:type="dxa"/>
            <w:vAlign w:val="bottom"/>
            <w:gridSpan w:val="5"/>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6"/>
        </w:trPr>
        <w:tc>
          <w:tcPr>
            <w:tcW w:w="680" w:type="dxa"/>
            <w:vAlign w:val="bottom"/>
          </w:tcPr>
          <w:p>
            <w:pPr>
              <w:ind w:left="20"/>
              <w:spacing w:after="0"/>
              <w:rPr>
                <w:sz w:val="20"/>
                <w:szCs w:val="20"/>
                <w:color w:val="auto"/>
              </w:rPr>
            </w:pPr>
            <w:r>
              <w:rPr>
                <w:rFonts w:ascii="Arial" w:cs="Arial" w:eastAsia="Arial" w:hAnsi="Arial"/>
                <w:sz w:val="18"/>
                <w:szCs w:val="18"/>
                <w:color w:val="auto"/>
              </w:rPr>
              <w:t>32.1</w:t>
            </w:r>
          </w:p>
        </w:tc>
        <w:tc>
          <w:tcPr>
            <w:tcW w:w="920" w:type="dxa"/>
            <w:vAlign w:val="bottom"/>
          </w:tcPr>
          <w:p>
            <w:pPr>
              <w:spacing w:after="0"/>
              <w:rPr>
                <w:sz w:val="24"/>
                <w:szCs w:val="24"/>
                <w:color w:val="auto"/>
              </w:rPr>
            </w:pPr>
          </w:p>
        </w:tc>
        <w:tc>
          <w:tcPr>
            <w:tcW w:w="21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Certifications of the Principal</w:t>
              </w:r>
            </w:hyperlink>
          </w:p>
        </w:tc>
        <w:tc>
          <w:tcPr>
            <w:tcW w:w="920" w:type="dxa"/>
            <w:vAlign w:val="bottom"/>
            <w:gridSpan w:val="10"/>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60" w:type="dxa"/>
            <w:vAlign w:val="bottom"/>
            <w:gridSpan w:val="1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Executive Officer and Principal</w:t>
              </w:r>
            </w:hyperlink>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80" w:type="dxa"/>
            <w:vAlign w:val="bottom"/>
            <w:tcBorders>
              <w:top w:val="single" w:sz="8" w:color="0000EE"/>
            </w:tcBorders>
            <w:gridSpan w:val="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Financial Officer pursuant to</w:t>
              </w:r>
            </w:hyperlink>
          </w:p>
        </w:tc>
        <w:tc>
          <w:tcPr>
            <w:tcW w:w="780" w:type="dxa"/>
            <w:vAlign w:val="bottom"/>
            <w:gridSpan w:val="9"/>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Section 906 of the Sarbanes-Oxley Act</w:t>
              </w:r>
            </w:hyperlink>
          </w:p>
        </w:tc>
        <w:tc>
          <w:tcPr>
            <w:tcW w:w="240" w:type="dxa"/>
            <w:vAlign w:val="bottom"/>
            <w:gridSpan w:val="3"/>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60" w:type="dxa"/>
            <w:vAlign w:val="bottom"/>
            <w:gridSpan w:val="1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of 2002.</w:t>
              </w:r>
            </w:hyperlink>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60" w:type="dxa"/>
            <w:vAlign w:val="bottom"/>
            <w:gridSpan w:val="1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507"/>
        </w:trPr>
        <w:tc>
          <w:tcPr>
            <w:tcW w:w="680" w:type="dxa"/>
            <w:vAlign w:val="bottom"/>
          </w:tcPr>
          <w:p>
            <w:pPr>
              <w:ind w:left="20"/>
              <w:spacing w:after="0"/>
              <w:rPr>
                <w:sz w:val="20"/>
                <w:szCs w:val="20"/>
                <w:color w:val="auto"/>
              </w:rPr>
            </w:pPr>
            <w:r>
              <w:rPr>
                <w:rFonts w:ascii="Arial" w:cs="Arial" w:eastAsia="Arial" w:hAnsi="Arial"/>
                <w:sz w:val="18"/>
                <w:szCs w:val="18"/>
                <w:color w:val="auto"/>
              </w:rPr>
              <w:t>101</w:t>
            </w:r>
          </w:p>
        </w:tc>
        <w:tc>
          <w:tcPr>
            <w:tcW w:w="920" w:type="dxa"/>
            <w:vAlign w:val="bottom"/>
          </w:tcPr>
          <w:p>
            <w:pPr>
              <w:ind w:left="200"/>
              <w:spacing w:after="0"/>
              <w:rPr>
                <w:sz w:val="20"/>
                <w:szCs w:val="20"/>
                <w:color w:val="auto"/>
              </w:rPr>
            </w:pPr>
            <w:r>
              <w:rPr>
                <w:rFonts w:ascii="Arial" w:cs="Arial" w:eastAsia="Arial" w:hAnsi="Arial"/>
                <w:sz w:val="18"/>
                <w:szCs w:val="18"/>
                <w:color w:val="auto"/>
              </w:rPr>
              <w:t>.INS</w:t>
            </w:r>
          </w:p>
        </w:tc>
        <w:tc>
          <w:tcPr>
            <w:tcW w:w="3060" w:type="dxa"/>
            <w:vAlign w:val="bottom"/>
            <w:gridSpan w:val="15"/>
          </w:tcPr>
          <w:p>
            <w:pPr>
              <w:spacing w:after="0"/>
              <w:rPr>
                <w:sz w:val="20"/>
                <w:szCs w:val="20"/>
                <w:color w:val="auto"/>
              </w:rPr>
            </w:pPr>
            <w:r>
              <w:rPr>
                <w:rFonts w:ascii="Arial" w:cs="Arial" w:eastAsia="Arial" w:hAnsi="Arial"/>
                <w:sz w:val="18"/>
                <w:szCs w:val="18"/>
                <w:color w:val="auto"/>
              </w:rPr>
              <w:t>XBRL Instance Document - the</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5"/>
          </w:tcPr>
          <w:p>
            <w:pPr>
              <w:spacing w:after="0"/>
              <w:rPr>
                <w:sz w:val="20"/>
                <w:szCs w:val="20"/>
                <w:color w:val="auto"/>
              </w:rPr>
            </w:pPr>
            <w:r>
              <w:rPr>
                <w:rFonts w:ascii="Arial" w:cs="Arial" w:eastAsia="Arial" w:hAnsi="Arial"/>
                <w:sz w:val="18"/>
                <w:szCs w:val="18"/>
                <w:color w:val="auto"/>
                <w:w w:val="99"/>
              </w:rPr>
              <w:t>instance document does not appear in</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5"/>
          </w:tcPr>
          <w:p>
            <w:pPr>
              <w:spacing w:after="0"/>
              <w:rPr>
                <w:sz w:val="20"/>
                <w:szCs w:val="20"/>
                <w:color w:val="auto"/>
              </w:rPr>
            </w:pPr>
            <w:r>
              <w:rPr>
                <w:rFonts w:ascii="Arial" w:cs="Arial" w:eastAsia="Arial" w:hAnsi="Arial"/>
                <w:sz w:val="18"/>
                <w:szCs w:val="18"/>
                <w:color w:val="auto"/>
              </w:rPr>
              <w:t>the Interactive Data File because its</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5"/>
          </w:tcPr>
          <w:p>
            <w:pPr>
              <w:spacing w:after="0"/>
              <w:rPr>
                <w:sz w:val="20"/>
                <w:szCs w:val="20"/>
                <w:color w:val="auto"/>
              </w:rPr>
            </w:pPr>
            <w:r>
              <w:rPr>
                <w:rFonts w:ascii="Arial" w:cs="Arial" w:eastAsia="Arial" w:hAnsi="Arial"/>
                <w:sz w:val="18"/>
                <w:szCs w:val="18"/>
                <w:color w:val="auto"/>
              </w:rPr>
              <w:t>XBRL tags are embedded within the</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5"/>
          </w:tcPr>
          <w:p>
            <w:pPr>
              <w:spacing w:after="0"/>
              <w:rPr>
                <w:sz w:val="20"/>
                <w:szCs w:val="20"/>
                <w:color w:val="auto"/>
              </w:rPr>
            </w:pPr>
            <w:r>
              <w:rPr>
                <w:rFonts w:ascii="Arial" w:cs="Arial" w:eastAsia="Arial" w:hAnsi="Arial"/>
                <w:sz w:val="18"/>
                <w:szCs w:val="18"/>
                <w:color w:val="auto"/>
              </w:rPr>
              <w:t>Inline XBRL document.</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486"/>
        </w:trPr>
        <w:tc>
          <w:tcPr>
            <w:tcW w:w="68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.SCH</w:t>
            </w:r>
          </w:p>
        </w:tc>
        <w:tc>
          <w:tcPr>
            <w:tcW w:w="3060" w:type="dxa"/>
            <w:vAlign w:val="bottom"/>
            <w:gridSpan w:val="15"/>
          </w:tcPr>
          <w:p>
            <w:pPr>
              <w:spacing w:after="0"/>
              <w:rPr>
                <w:sz w:val="20"/>
                <w:szCs w:val="20"/>
                <w:color w:val="auto"/>
              </w:rPr>
            </w:pPr>
            <w:r>
              <w:rPr>
                <w:rFonts w:ascii="Arial" w:cs="Arial" w:eastAsia="Arial" w:hAnsi="Arial"/>
                <w:sz w:val="18"/>
                <w:szCs w:val="18"/>
                <w:color w:val="auto"/>
              </w:rPr>
              <w:t>XBRL Taxonomy Extension Schema</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486"/>
        </w:trPr>
        <w:tc>
          <w:tcPr>
            <w:tcW w:w="68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.CAL</w:t>
            </w:r>
          </w:p>
        </w:tc>
        <w:tc>
          <w:tcPr>
            <w:tcW w:w="3060" w:type="dxa"/>
            <w:vAlign w:val="bottom"/>
            <w:gridSpan w:val="15"/>
          </w:tcPr>
          <w:p>
            <w:pPr>
              <w:spacing w:after="0"/>
              <w:rPr>
                <w:sz w:val="20"/>
                <w:szCs w:val="20"/>
                <w:color w:val="auto"/>
              </w:rPr>
            </w:pPr>
            <w:r>
              <w:rPr>
                <w:rFonts w:ascii="Arial" w:cs="Arial" w:eastAsia="Arial" w:hAnsi="Arial"/>
                <w:sz w:val="18"/>
                <w:szCs w:val="18"/>
                <w:color w:val="auto"/>
              </w:rPr>
              <w:t>XBRL Taxonomy Extension</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5"/>
          </w:tcPr>
          <w:p>
            <w:pPr>
              <w:spacing w:after="0"/>
              <w:rPr>
                <w:sz w:val="20"/>
                <w:szCs w:val="20"/>
                <w:color w:val="auto"/>
              </w:rPr>
            </w:pPr>
            <w:r>
              <w:rPr>
                <w:rFonts w:ascii="Arial" w:cs="Arial" w:eastAsia="Arial" w:hAnsi="Arial"/>
                <w:sz w:val="18"/>
                <w:szCs w:val="18"/>
                <w:color w:val="auto"/>
              </w:rPr>
              <w:t>Calculation Linkbase Document.</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486"/>
        </w:trPr>
        <w:tc>
          <w:tcPr>
            <w:tcW w:w="68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.DEF</w:t>
            </w:r>
          </w:p>
        </w:tc>
        <w:tc>
          <w:tcPr>
            <w:tcW w:w="3060" w:type="dxa"/>
            <w:vAlign w:val="bottom"/>
            <w:gridSpan w:val="15"/>
          </w:tcPr>
          <w:p>
            <w:pPr>
              <w:spacing w:after="0"/>
              <w:rPr>
                <w:sz w:val="20"/>
                <w:szCs w:val="20"/>
                <w:color w:val="auto"/>
              </w:rPr>
            </w:pPr>
            <w:r>
              <w:rPr>
                <w:rFonts w:ascii="Arial" w:cs="Arial" w:eastAsia="Arial" w:hAnsi="Arial"/>
                <w:sz w:val="18"/>
                <w:szCs w:val="18"/>
                <w:color w:val="auto"/>
              </w:rPr>
              <w:t>XBRL Taxonomy Extension</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5"/>
          </w:tcPr>
          <w:p>
            <w:pPr>
              <w:spacing w:after="0"/>
              <w:rPr>
                <w:sz w:val="20"/>
                <w:szCs w:val="20"/>
                <w:color w:val="auto"/>
              </w:rPr>
            </w:pPr>
            <w:r>
              <w:rPr>
                <w:rFonts w:ascii="Arial" w:cs="Arial" w:eastAsia="Arial" w:hAnsi="Arial"/>
                <w:sz w:val="18"/>
                <w:szCs w:val="18"/>
                <w:color w:val="auto"/>
              </w:rPr>
              <w:t>Definition.</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486"/>
        </w:trPr>
        <w:tc>
          <w:tcPr>
            <w:tcW w:w="68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.LAB</w:t>
            </w:r>
          </w:p>
        </w:tc>
        <w:tc>
          <w:tcPr>
            <w:tcW w:w="3060" w:type="dxa"/>
            <w:vAlign w:val="bottom"/>
            <w:gridSpan w:val="15"/>
          </w:tcPr>
          <w:p>
            <w:pPr>
              <w:spacing w:after="0"/>
              <w:rPr>
                <w:sz w:val="20"/>
                <w:szCs w:val="20"/>
                <w:color w:val="auto"/>
              </w:rPr>
            </w:pPr>
            <w:r>
              <w:rPr>
                <w:rFonts w:ascii="Arial" w:cs="Arial" w:eastAsia="Arial" w:hAnsi="Arial"/>
                <w:sz w:val="18"/>
                <w:szCs w:val="18"/>
                <w:color w:val="auto"/>
              </w:rPr>
              <w:t>XBRL Taxonomy Extension Label</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5"/>
          </w:tcPr>
          <w:p>
            <w:pPr>
              <w:spacing w:after="0"/>
              <w:rPr>
                <w:sz w:val="20"/>
                <w:szCs w:val="20"/>
                <w:color w:val="auto"/>
              </w:rPr>
            </w:pPr>
            <w:r>
              <w:rPr>
                <w:rFonts w:ascii="Arial" w:cs="Arial" w:eastAsia="Arial" w:hAnsi="Arial"/>
                <w:sz w:val="18"/>
                <w:szCs w:val="18"/>
                <w:color w:val="auto"/>
              </w:rPr>
              <w:t>Linkbase Document.</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80"/>
        <w:spacing w:after="0" w:line="377" w:lineRule="auto"/>
        <w:rPr>
          <w:sz w:val="20"/>
          <w:szCs w:val="20"/>
          <w:color w:val="auto"/>
        </w:rPr>
      </w:pP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522" w:lineRule="exact"/>
        <w:rPr>
          <w:sz w:val="20"/>
          <w:szCs w:val="20"/>
          <w:color w:val="auto"/>
        </w:rPr>
      </w:pPr>
    </w:p>
    <w:p>
      <w:pPr>
        <w:sectPr>
          <w:pgSz w:w="11900" w:h="16838" w:orient="portrait"/>
          <w:cols w:equalWidth="0" w:num="3">
            <w:col w:w="1240" w:space="400"/>
            <w:col w:w="2620" w:space="720"/>
            <w:col w:w="4039"/>
          </w:cols>
          <w:pgMar w:left="1440" w:top="517" w:right="1440" w:bottom="1440" w:gutter="0" w:footer="0" w:header="0"/>
          <w:type w:val="continuous"/>
        </w:sectPr>
      </w:pPr>
    </w:p>
    <w:p>
      <w:pPr>
        <w:ind w:left="60"/>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br w:type="column"/>
      </w:r>
    </w:p>
    <w:p>
      <w:pPr>
        <w:ind w:right="260"/>
        <w:spacing w:after="0" w:line="319" w:lineRule="auto"/>
        <w:rPr>
          <w:sz w:val="20"/>
          <w:szCs w:val="20"/>
          <w:color w:val="auto"/>
        </w:rPr>
      </w:pPr>
      <w:r>
        <w:rPr>
          <w:rFonts w:ascii="Arial" w:cs="Arial" w:eastAsia="Arial" w:hAnsi="Arial"/>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X</w:t>
      </w:r>
    </w:p>
    <w:p>
      <w:pPr>
        <w:spacing w:after="0" w:line="772" w:lineRule="exact"/>
        <w:rPr>
          <w:sz w:val="20"/>
          <w:szCs w:val="20"/>
          <w:color w:val="auto"/>
        </w:rPr>
      </w:pPr>
    </w:p>
    <w:p>
      <w:pPr>
        <w:sectPr>
          <w:pgSz w:w="11900" w:h="16838" w:orient="portrait"/>
          <w:cols w:equalWidth="0" w:num="3">
            <w:col w:w="920" w:space="720"/>
            <w:col w:w="2620" w:space="720"/>
            <w:col w:w="4039"/>
          </w:cols>
          <w:pgMar w:left="1440" w:top="517" w:right="1440" w:bottom="1440" w:gutter="0" w:footer="0" w:header="0"/>
          <w:type w:val="continuous"/>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5640" w:type="dxa"/>
            <w:vAlign w:val="bottom"/>
            <w:gridSpan w:val="2"/>
          </w:tcPr>
          <w:p>
            <w:pPr>
              <w:ind w:left="1640"/>
              <w:spacing w:after="0"/>
              <w:rPr>
                <w:sz w:val="20"/>
                <w:szCs w:val="20"/>
                <w:color w:val="auto"/>
              </w:rPr>
            </w:pPr>
            <w:r>
              <w:rPr>
                <w:rFonts w:ascii="Arial" w:cs="Arial" w:eastAsia="Arial" w:hAnsi="Arial"/>
                <w:sz w:val="18"/>
                <w:szCs w:val="18"/>
                <w:b w:val="1"/>
                <w:bCs w:val="1"/>
                <w:color w:val="auto"/>
              </w:rPr>
              <w:t>QUANTERIX CORPORATION</w:t>
            </w:r>
          </w:p>
        </w:tc>
      </w:tr>
      <w:tr>
        <w:trPr>
          <w:trHeight w:val="459"/>
        </w:trPr>
        <w:tc>
          <w:tcPr>
            <w:tcW w:w="3260" w:type="dxa"/>
            <w:vAlign w:val="bottom"/>
          </w:tcPr>
          <w:p>
            <w:pPr>
              <w:spacing w:after="0"/>
              <w:rPr>
                <w:sz w:val="20"/>
                <w:szCs w:val="20"/>
                <w:color w:val="auto"/>
              </w:rPr>
            </w:pPr>
            <w:r>
              <w:rPr>
                <w:rFonts w:ascii="Arial" w:cs="Arial" w:eastAsia="Arial" w:hAnsi="Arial"/>
                <w:sz w:val="18"/>
                <w:szCs w:val="18"/>
                <w:color w:val="auto"/>
              </w:rPr>
              <w:t>Dated: August 5, 2021</w:t>
            </w:r>
          </w:p>
        </w:tc>
        <w:tc>
          <w:tcPr>
            <w:tcW w:w="5640" w:type="dxa"/>
            <w:vAlign w:val="bottom"/>
            <w:gridSpan w:val="2"/>
          </w:tcPr>
          <w:p>
            <w:pPr>
              <w:ind w:left="1640"/>
              <w:spacing w:after="0"/>
              <w:rPr>
                <w:sz w:val="20"/>
                <w:szCs w:val="20"/>
                <w:color w:val="auto"/>
              </w:rPr>
            </w:pPr>
            <w:r>
              <w:rPr>
                <w:rFonts w:ascii="Arial" w:cs="Arial" w:eastAsia="Arial" w:hAnsi="Arial"/>
                <w:sz w:val="18"/>
                <w:szCs w:val="18"/>
                <w:color w:val="auto"/>
              </w:rPr>
              <w:t>By:  /s/ E. Kevin Hrusovsky</w:t>
            </w:r>
          </w:p>
        </w:tc>
      </w:tr>
      <w:tr>
        <w:trPr>
          <w:trHeight w:val="195"/>
        </w:trPr>
        <w:tc>
          <w:tcPr>
            <w:tcW w:w="32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 Kevin Hrusovsky</w:t>
            </w:r>
          </w:p>
        </w:tc>
      </w:tr>
      <w:tr>
        <w:trPr>
          <w:trHeight w:val="216"/>
        </w:trPr>
        <w:tc>
          <w:tcPr>
            <w:tcW w:w="3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Chairman, President and Chief Executive</w:t>
            </w:r>
          </w:p>
        </w:tc>
      </w:tr>
      <w:tr>
        <w:trPr>
          <w:trHeight w:val="216"/>
        </w:trPr>
        <w:tc>
          <w:tcPr>
            <w:tcW w:w="3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Officer</w:t>
            </w:r>
          </w:p>
        </w:tc>
      </w:tr>
      <w:tr>
        <w:trPr>
          <w:trHeight w:val="230"/>
        </w:trPr>
        <w:tc>
          <w:tcPr>
            <w:tcW w:w="3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Dated: August 5, 2021</w:t>
            </w:r>
          </w:p>
        </w:tc>
        <w:tc>
          <w:tcPr>
            <w:tcW w:w="5640" w:type="dxa"/>
            <w:vAlign w:val="bottom"/>
            <w:gridSpan w:val="2"/>
          </w:tcPr>
          <w:p>
            <w:pPr>
              <w:ind w:left="1640"/>
              <w:spacing w:after="0"/>
              <w:rPr>
                <w:sz w:val="20"/>
                <w:szCs w:val="20"/>
                <w:color w:val="auto"/>
              </w:rPr>
            </w:pPr>
            <w:r>
              <w:rPr>
                <w:rFonts w:ascii="Arial" w:cs="Arial" w:eastAsia="Arial" w:hAnsi="Arial"/>
                <w:sz w:val="18"/>
                <w:szCs w:val="18"/>
                <w:color w:val="auto"/>
              </w:rPr>
              <w:t>By:  /s/ Michael Doyle</w:t>
            </w:r>
          </w:p>
        </w:tc>
      </w:tr>
      <w:tr>
        <w:trPr>
          <w:trHeight w:val="195"/>
        </w:trPr>
        <w:tc>
          <w:tcPr>
            <w:tcW w:w="32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Doyle</w:t>
            </w:r>
          </w:p>
        </w:tc>
      </w:tr>
      <w:tr>
        <w:trPr>
          <w:trHeight w:val="216"/>
        </w:trPr>
        <w:tc>
          <w:tcPr>
            <w:tcW w:w="3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r>
      <w:tr>
        <w:trPr>
          <w:trHeight w:val="230"/>
        </w:trPr>
        <w:tc>
          <w:tcPr>
            <w:tcW w:w="3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 Kevin Hrusovsky, certify that:</w:t>
      </w:r>
    </w:p>
    <w:p>
      <w:pPr>
        <w:spacing w:after="0" w:line="225"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jc w:val="both"/>
        <w:ind w:right="440" w:firstLine="8"/>
        <w:spacing w:after="0" w:line="263" w:lineRule="auto"/>
        <w:tabs>
          <w:tab w:leader="none" w:pos="6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8"/>
        <w:spacing w:after="0" w:line="263" w:lineRule="auto"/>
        <w:tabs>
          <w:tab w:leader="none" w:pos="6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63" w:lineRule="auto"/>
        <w:tabs>
          <w:tab w:leader="none" w:pos="6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260" w:hanging="4"/>
        <w:spacing w:after="0" w:line="340" w:lineRule="auto"/>
        <w:tabs>
          <w:tab w:leader="none" w:pos="1340" w:val="left"/>
        </w:tabs>
        <w:numPr>
          <w:ilvl w:val="1"/>
          <w:numId w:val="1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5"/>
          <w:szCs w:val="15"/>
          <w:color w:val="auto"/>
        </w:rPr>
      </w:pPr>
    </w:p>
    <w:p>
      <w:pPr>
        <w:ind w:left="660" w:right="280" w:hanging="4"/>
        <w:spacing w:after="0" w:line="311" w:lineRule="auto"/>
        <w:tabs>
          <w:tab w:leader="none" w:pos="1305"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660" w:right="140" w:hanging="4"/>
        <w:spacing w:after="0" w:line="263"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160" w:hanging="4"/>
        <w:spacing w:after="0" w:line="286" w:lineRule="auto"/>
        <w:tabs>
          <w:tab w:leader="none" w:pos="1305"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8"/>
        <w:spacing w:after="0" w:line="263" w:lineRule="auto"/>
        <w:tabs>
          <w:tab w:leader="none" w:pos="6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right="600" w:hanging="4"/>
        <w:spacing w:after="0" w:line="263"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320" w:hanging="4"/>
        <w:spacing w:after="0" w:line="277" w:lineRule="auto"/>
        <w:tabs>
          <w:tab w:leader="none" w:pos="13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E.Kevin Hrusovsky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 Kevin Hrusovsky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Doyle, certify that:</w:t>
      </w:r>
    </w:p>
    <w:p>
      <w:pPr>
        <w:spacing w:after="0" w:line="225"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jc w:val="both"/>
        <w:ind w:right="440" w:firstLine="8"/>
        <w:spacing w:after="0" w:line="263" w:lineRule="auto"/>
        <w:tabs>
          <w:tab w:leader="none" w:pos="6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8"/>
        <w:spacing w:after="0" w:line="263" w:lineRule="auto"/>
        <w:tabs>
          <w:tab w:leader="none" w:pos="6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63" w:lineRule="auto"/>
        <w:tabs>
          <w:tab w:leader="none" w:pos="6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260" w:hanging="4"/>
        <w:spacing w:after="0" w:line="340" w:lineRule="auto"/>
        <w:tabs>
          <w:tab w:leader="none" w:pos="1340" w:val="left"/>
        </w:tabs>
        <w:numPr>
          <w:ilvl w:val="1"/>
          <w:numId w:val="1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5"/>
          <w:szCs w:val="15"/>
          <w:color w:val="auto"/>
        </w:rPr>
      </w:pPr>
    </w:p>
    <w:p>
      <w:pPr>
        <w:ind w:left="660" w:right="280" w:hanging="4"/>
        <w:spacing w:after="0" w:line="311" w:lineRule="auto"/>
        <w:tabs>
          <w:tab w:leader="none" w:pos="1305"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660" w:right="140" w:hanging="4"/>
        <w:spacing w:after="0" w:line="263" w:lineRule="auto"/>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160" w:hanging="4"/>
        <w:spacing w:after="0" w:line="286" w:lineRule="auto"/>
        <w:tabs>
          <w:tab w:leader="none" w:pos="1305"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8"/>
        <w:spacing w:after="0" w:line="263" w:lineRule="auto"/>
        <w:tabs>
          <w:tab w:leader="none" w:pos="6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right="600" w:hanging="4"/>
        <w:spacing w:after="0" w:line="263" w:lineRule="auto"/>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320" w:hanging="4"/>
        <w:spacing w:after="0" w:line="277" w:lineRule="auto"/>
        <w:tabs>
          <w:tab w:leader="none" w:pos="130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Michael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Doyle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8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Quarterly Report for the period ended June 30, 2021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660"/>
              <w:spacing w:after="0"/>
              <w:rPr>
                <w:sz w:val="20"/>
                <w:szCs w:val="20"/>
                <w:color w:val="auto"/>
              </w:rPr>
            </w:pPr>
            <w:r>
              <w:rPr>
                <w:rFonts w:ascii="Arial" w:cs="Arial" w:eastAsia="Arial" w:hAnsi="Arial"/>
                <w:sz w:val="18"/>
                <w:szCs w:val="18"/>
                <w:color w:val="auto"/>
              </w:rPr>
              <w:t>Dated: August 5,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 Kevin Hrusovsky</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E. Kevin Hrusovsky</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648"/>
        </w:trPr>
        <w:tc>
          <w:tcPr>
            <w:tcW w:w="4960" w:type="dxa"/>
            <w:vAlign w:val="bottom"/>
          </w:tcPr>
          <w:p>
            <w:pPr>
              <w:ind w:left="660"/>
              <w:spacing w:after="0"/>
              <w:rPr>
                <w:sz w:val="20"/>
                <w:szCs w:val="20"/>
                <w:color w:val="auto"/>
              </w:rPr>
            </w:pPr>
            <w:r>
              <w:rPr>
                <w:rFonts w:ascii="Arial" w:cs="Arial" w:eastAsia="Arial" w:hAnsi="Arial"/>
                <w:sz w:val="18"/>
                <w:szCs w:val="18"/>
                <w:color w:val="auto"/>
              </w:rPr>
              <w:t>Dated: August 5,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Doyle</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Michael Doyle</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1"/>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56" Type="http://schemas.openxmlformats.org/officeDocument/2006/relationships/hyperlink" Target="https://www.sec.gov/Archives/edgar/data/1503274/000110465921064322/tm2115832d1_ex10-1.htm" TargetMode="External"/><Relationship Id="rId57" Type="http://schemas.openxmlformats.org/officeDocument/2006/relationships/hyperlink" Target="https://www.sec.gov/Archives/edgar/data/1503274/000110465921086268/tm2120806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2021-08-05T17:36:16Z</dcterms:created>
  <dcterms:modified xsi:type="dcterms:W3CDTF">2021-08-05T17:36:16Z</dcterms:modified>
</cp:coreProperties>
</file>