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115570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165100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340" w:hanging="330"/>
        <w:spacing w:after="0" w:line="237" w:lineRule="auto"/>
        <w:tabs>
          <w:tab w:leader="none" w:pos="3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-291465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340" w:hanging="330"/>
        <w:spacing w:after="0" w:line="262" w:lineRule="auto"/>
        <w:tabs>
          <w:tab w:leader="none" w:pos="3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-307340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7" w:lineRule="exact"/>
        <w:rPr>
          <w:sz w:val="24"/>
          <w:szCs w:val="24"/>
          <w:color w:val="auto"/>
        </w:rPr>
      </w:pPr>
    </w:p>
    <w:p>
      <w:pPr>
        <w:ind w:left="3340"/>
        <w:spacing w:after="0"/>
        <w:tabs>
          <w:tab w:leader="none" w:pos="6200" w:val="left"/>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148590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QUANTERIX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20-8957988</w:t>
            </w:r>
          </w:p>
        </w:tc>
      </w:tr>
      <w:tr>
        <w:trPr>
          <w:trHeight w:val="188"/>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470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8"/>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9"/>
              </w:rPr>
              <w:t>Billerica, MA</w:t>
            </w:r>
          </w:p>
        </w:tc>
        <w:tc>
          <w:tcPr>
            <w:tcW w:w="3220" w:type="dxa"/>
            <w:vAlign w:val="bottom"/>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01821</w:t>
            </w:r>
          </w:p>
        </w:tc>
      </w:tr>
      <w:tr>
        <w:trPr>
          <w:trHeight w:val="239"/>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4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88265</wp:posOffset>
            </wp:positionV>
            <wp:extent cx="1628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 w:lineRule="exact"/>
        <w:rPr>
          <w:sz w:val="24"/>
          <w:szCs w:val="24"/>
          <w:color w:val="auto"/>
        </w:rPr>
      </w:pPr>
    </w:p>
    <w:p>
      <w:pPr>
        <w:ind w:left="20" w:right="260" w:firstLine="51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20"/>
        <w:spacing w:after="0" w:line="242" w:lineRule="exact"/>
        <w:tabs>
          <w:tab w:leader="none" w:pos="5080" w:val="left"/>
          <w:tab w:leader="none" w:pos="5800" w:val="left"/>
        </w:tabs>
        <w:rPr>
          <w:sz w:val="20"/>
          <w:szCs w:val="20"/>
          <w:color w:val="auto"/>
        </w:rPr>
      </w:pPr>
      <w:r>
        <w:rPr>
          <w:rFonts w:ascii="Times New Roman" w:cs="Times New Roman" w:eastAsia="Times New Roman" w:hAnsi="Times New Roman"/>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6" w:lineRule="exact"/>
        <w:rPr>
          <w:sz w:val="24"/>
          <w:szCs w:val="24"/>
          <w:color w:val="auto"/>
        </w:rPr>
      </w:pPr>
    </w:p>
    <w:p>
      <w:pPr>
        <w:jc w:val="both"/>
        <w:ind w:left="20" w:right="5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left="20" w:right="26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jc w:val="center"/>
              <w:ind w:left="21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jc w:val="center"/>
              <w:ind w:left="21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jc w:val="center"/>
              <w:ind w:left="21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9" w:lineRule="exact"/>
        <w:rPr>
          <w:sz w:val="24"/>
          <w:szCs w:val="24"/>
          <w:color w:val="auto"/>
        </w:rPr>
      </w:pPr>
    </w:p>
    <w:p>
      <w:pPr>
        <w:ind w:left="2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jc w:val="right"/>
        <w:ind w:left="20" w:right="8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As of October 30, 2020, the registrant had 31,668,184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541020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104140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74"/>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Special Note Regarding Forward-Looking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4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gridSpan w:val="7"/>
          </w:tcPr>
          <w:p>
            <w:pPr>
              <w:jc w:val="center"/>
              <w:ind w:right="2000"/>
              <w:spacing w:after="0"/>
              <w:rPr>
                <w:rFonts w:ascii="Times New Roman" w:cs="Times New Roman" w:eastAsia="Times New Roman" w:hAnsi="Times New Roman"/>
                <w:sz w:val="18"/>
                <w:szCs w:val="18"/>
                <w:b w:val="1"/>
                <w:bCs w:val="1"/>
                <w:u w:val="single" w:color="auto"/>
                <w:color w:val="0000EE"/>
                <w:w w:val="98"/>
              </w:rPr>
            </w:pPr>
            <w:hyperlink w:anchor="page4">
              <w:r>
                <w:rPr>
                  <w:rFonts w:ascii="Times New Roman" w:cs="Times New Roman" w:eastAsia="Times New Roman" w:hAnsi="Times New Roman"/>
                  <w:sz w:val="18"/>
                  <w:szCs w:val="18"/>
                  <w:b w:val="1"/>
                  <w:bCs w:val="1"/>
                  <w:u w:val="single" w:color="auto"/>
                  <w:color w:val="0000EE"/>
                  <w:w w:val="98"/>
                </w:rPr>
                <w:t>PART I — FINANCIAL INFORMATION</w:t>
              </w:r>
            </w:hyperlink>
          </w:p>
        </w:tc>
        <w:tc>
          <w:tcPr>
            <w:tcW w:w="380" w:type="dxa"/>
            <w:vAlign w:val="bottom"/>
          </w:tcPr>
          <w:p>
            <w:pPr>
              <w:spacing w:after="0"/>
              <w:rPr>
                <w:sz w:val="24"/>
                <w:szCs w:val="24"/>
                <w:color w:val="auto"/>
              </w:rPr>
            </w:pPr>
          </w:p>
        </w:tc>
      </w:tr>
      <w:tr>
        <w:trPr>
          <w:trHeight w:val="414"/>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1.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520" w:type="dxa"/>
            <w:vAlign w:val="bottom"/>
            <w:gridSpan w:val="11"/>
          </w:tcPr>
          <w:p>
            <w:pPr>
              <w:ind w:left="4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Condensed Consolidated Balance Sheets at September 30, 2020 and December 31, 2019</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4"/>
        </w:trPr>
        <w:tc>
          <w:tcPr>
            <w:tcW w:w="8520" w:type="dxa"/>
            <w:vAlign w:val="bottom"/>
            <w:gridSpan w:val="11"/>
          </w:tcPr>
          <w:p>
            <w:pPr>
              <w:ind w:left="440"/>
              <w:spacing w:after="0" w:line="194"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Operations for the Three and Nine Months Ended September</w:t>
              </w:r>
            </w:hyperlink>
          </w:p>
        </w:tc>
        <w:tc>
          <w:tcPr>
            <w:tcW w:w="380" w:type="dxa"/>
            <w:vAlign w:val="bottom"/>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30, 2020 and 2019</w:t>
              </w:r>
            </w:hyperlink>
          </w:p>
        </w:tc>
        <w:tc>
          <w:tcPr>
            <w:tcW w:w="648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520" w:type="dxa"/>
            <w:vAlign w:val="bottom"/>
            <w:gridSpan w:val="11"/>
          </w:tcPr>
          <w:p>
            <w:pPr>
              <w:ind w:left="44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Comprehensive Income (Loss) for the Three and Nine</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Months Ended September 30, 2020 and 2019</w:t>
              </w:r>
            </w:hyperlink>
          </w:p>
        </w:tc>
        <w:tc>
          <w:tcPr>
            <w:tcW w:w="4080" w:type="dxa"/>
            <w:vAlign w:val="bottom"/>
            <w:tcBorders>
              <w:top w:val="single" w:sz="8" w:color="0000EE"/>
            </w:tcBorders>
          </w:tcPr>
          <w:p>
            <w:pPr>
              <w:spacing w:after="0"/>
              <w:rPr>
                <w:sz w:val="17"/>
                <w:szCs w:val="17"/>
                <w:color w:val="auto"/>
              </w:rPr>
            </w:pPr>
          </w:p>
        </w:tc>
        <w:tc>
          <w:tcPr>
            <w:tcW w:w="5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520" w:type="dxa"/>
            <w:vAlign w:val="bottom"/>
            <w:gridSpan w:val="11"/>
          </w:tcPr>
          <w:p>
            <w:pPr>
              <w:ind w:left="440"/>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Statements of Cash Flows for the Nine Months Ended September 30, 2020</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7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and 2019</w:t>
              </w:r>
            </w:hyperlink>
          </w:p>
        </w:tc>
        <w:tc>
          <w:tcPr>
            <w:tcW w:w="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520" w:type="dxa"/>
            <w:vAlign w:val="bottom"/>
            <w:gridSpan w:val="11"/>
          </w:tcPr>
          <w:p>
            <w:pPr>
              <w:ind w:left="440"/>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Condensed Consolidated Statements of Stockholders’ Equity for the Three and Nine Months Ended</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September 30, 2020 and 2019</w:t>
              </w:r>
            </w:hyperlink>
          </w:p>
        </w:tc>
        <w:tc>
          <w:tcPr>
            <w:tcW w:w="558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37"/>
        </w:trPr>
        <w:tc>
          <w:tcPr>
            <w:tcW w:w="8520" w:type="dxa"/>
            <w:vAlign w:val="bottom"/>
            <w:gridSpan w:val="11"/>
          </w:tcPr>
          <w:p>
            <w:pPr>
              <w:ind w:left="44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Item 4. Controls and Procedures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gridSpan w:val="7"/>
          </w:tcPr>
          <w:p>
            <w:pPr>
              <w:jc w:val="center"/>
              <w:ind w:right="2020"/>
              <w:spacing w:after="0"/>
              <w:rPr>
                <w:rFonts w:ascii="Times New Roman" w:cs="Times New Roman" w:eastAsia="Times New Roman" w:hAnsi="Times New Roman"/>
                <w:sz w:val="18"/>
                <w:szCs w:val="18"/>
                <w:b w:val="1"/>
                <w:bCs w:val="1"/>
                <w:u w:val="single" w:color="auto"/>
                <w:color w:val="0000EE"/>
                <w:w w:val="98"/>
              </w:rPr>
            </w:pPr>
            <w:hyperlink w:anchor="page44">
              <w:r>
                <w:rPr>
                  <w:rFonts w:ascii="Times New Roman" w:cs="Times New Roman" w:eastAsia="Times New Roman" w:hAnsi="Times New Roman"/>
                  <w:sz w:val="18"/>
                  <w:szCs w:val="18"/>
                  <w:b w:val="1"/>
                  <w:bCs w:val="1"/>
                  <w:u w:val="single" w:color="auto"/>
                  <w:color w:val="0000EE"/>
                  <w:w w:val="98"/>
                </w:rPr>
                <w:t>PART II — OTHER INFORMATION</w:t>
              </w:r>
            </w:hyperlink>
          </w:p>
        </w:tc>
        <w:tc>
          <w:tcPr>
            <w:tcW w:w="380" w:type="dxa"/>
            <w:vAlign w:val="bottom"/>
          </w:tcPr>
          <w:p>
            <w:pPr>
              <w:spacing w:after="0"/>
              <w:rPr>
                <w:sz w:val="24"/>
                <w:szCs w:val="24"/>
                <w:color w:val="auto"/>
              </w:rPr>
            </w:pP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Item 1. 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Item 1A. 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Item 3. Defaults Upon Senior Securities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Item 4. 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Item 5. 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Item 6. Exhibits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8520" w:type="dxa"/>
            <w:vAlign w:val="bottom"/>
            <w:gridSpan w:val="11"/>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Signatures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3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2019, as may be updated by “Part II, Item 1A, Risk Factors” of our subsequently filed Quarterly Reports on Form 10-Q,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0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96"/>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173,162</w:t>
            </w:r>
          </w:p>
        </w:tc>
        <w:tc>
          <w:tcPr>
            <w:tcW w:w="1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109,155</w:t>
            </w:r>
          </w:p>
        </w:tc>
      </w:tr>
      <w:tr>
        <w:trPr>
          <w:trHeight w:val="189"/>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(less reserve for doubtful accounts of $449 and $162 as of</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September 30, 2020 and December 31, 2019, respectively; including $73 and $186 from</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related parties as of September 30, 2020 and December 31, 2019, respectively)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10,906</w:t>
            </w:r>
          </w:p>
        </w:tc>
      </w:tr>
      <w:tr>
        <w:trPr>
          <w:trHeight w:val="205"/>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r>
      <w:tr>
        <w:trPr>
          <w:trHeight w:val="203"/>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w:t>
            </w:r>
          </w:p>
        </w:tc>
      </w:tr>
      <w:tr>
        <w:trPr>
          <w:trHeight w:val="196"/>
        </w:trPr>
        <w:tc>
          <w:tcPr>
            <w:tcW w:w="6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132,661</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12,047</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36"/>
        </w:trPr>
        <w:tc>
          <w:tcPr>
            <w:tcW w:w="6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264,105</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169,951</w:t>
            </w:r>
          </w:p>
        </w:tc>
      </w:tr>
      <w:tr>
        <w:trPr>
          <w:trHeight w:val="183"/>
        </w:trPr>
        <w:tc>
          <w:tcPr>
            <w:tcW w:w="6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 (including $60 and $36 to related parties as of September 30, 2020 and</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2019, respectively)</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r>
      <w:tr>
        <w:trPr>
          <w:trHeight w:val="20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189"/>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accrued expenses (including $1,338 and $0 to related parties as of</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September 30, 2020 and December 31, 2019, respectively)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r>
      <w:tr>
        <w:trPr>
          <w:trHeight w:val="189"/>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 (including $56 and $55 with related parties as of September 30, 2020 and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31, 2019, respectively)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r>
      <w:tr>
        <w:trPr>
          <w:trHeight w:val="205"/>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long term debt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lease 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196"/>
        </w:trPr>
        <w:tc>
          <w:tcPr>
            <w:tcW w:w="6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19,833</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Long term debt, net of current portion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7,587</w:t>
            </w: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lease liabilities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13,407</w:t>
            </w:r>
          </w:p>
        </w:tc>
      </w:tr>
      <w:tr>
        <w:trPr>
          <w:trHeight w:val="19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41,293</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Authorized—120,000,000 shares as of September 30, 2020 and December 31, 2019;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 — 31,583,509 and 28,112,201 shares as of September 30, 2020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December 31, 2019, respectively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2"/>
        </w:trPr>
        <w:tc>
          <w:tcPr>
            <w:tcW w:w="6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345,027</w:t>
            </w:r>
          </w:p>
        </w:tc>
      </w:tr>
      <w:tr>
        <w:trPr>
          <w:trHeight w:val="203"/>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3"/>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(237,953)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(216,244)</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128,658</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264,105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169,951</w:t>
            </w: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ind w:left="3900"/>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Product revenue (including related party activity of $126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$321 for the three months ended</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 and 2019, respectively, and $398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$526 for the nine months ended September 30, 2020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2019, respectively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Service and other revenue (including related party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activity of $26 and $31 for the three months ended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 and 2019, respectively, and $71 and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$73 for the nine months ended September 30, 2020 and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2019, respectively)</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product revenue (including related party</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activity of $39 and $80 for the three months ended</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2020 and 2019, respectively, and $116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$150 for the nine months ended</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2020 and 2019, respectively)</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 and other revenue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collaboration and license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of goods sold, services, and licenses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30,139,157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26,627,831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28,881,716</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24,102,887</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31,386,439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26,627,831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28,881,716</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24,102,887</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1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88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8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Cumulative translation</w:t>
            </w:r>
          </w:p>
        </w:tc>
        <w:tc>
          <w:tcPr>
            <w:tcW w:w="10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30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w:t>
            </w:r>
          </w:p>
        </w:tc>
        <w:tc>
          <w:tcPr>
            <w:tcW w:w="10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(1,135)</w:t>
            </w:r>
          </w:p>
        </w:tc>
        <w:tc>
          <w:tcPr>
            <w:tcW w:w="3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w:t>
            </w:r>
          </w:p>
        </w:tc>
        <w:tc>
          <w:tcPr>
            <w:tcW w:w="10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8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(21,709)</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(29,838)</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Inventory step-up amortization</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Reduction in the carrying amounts of right-of-use assets</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4,713</w:t>
            </w:r>
          </w:p>
        </w:tc>
      </w:tr>
      <w:tr>
        <w:trPr>
          <w:trHeight w:val="149"/>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Non-cash interest expense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(15,360)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(3,943)</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(835)</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 other accrued expenses and other current liabilities</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Contract acquisition costs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r>
      <w:tr>
        <w:trPr>
          <w:trHeight w:val="149"/>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10,068</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r>
      <w:tr>
        <w:trPr>
          <w:trHeight w:val="142"/>
        </w:trPr>
        <w:tc>
          <w:tcPr>
            <w:tcW w:w="62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(28,019)</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(21,652)</w:t>
            </w:r>
          </w:p>
        </w:tc>
      </w:tr>
      <w:tr>
        <w:trPr>
          <w:trHeight w:val="142"/>
        </w:trPr>
        <w:tc>
          <w:tcPr>
            <w:tcW w:w="62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(2,149)</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(10,303)</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of UmanDiagnostics AB, net of cash acquired</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(14,529)</w:t>
            </w:r>
          </w:p>
        </w:tc>
      </w:tr>
      <w:tr>
        <w:trPr>
          <w:trHeight w:val="142"/>
        </w:trPr>
        <w:tc>
          <w:tcPr>
            <w:tcW w:w="62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(2,149)</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(24,832)</w:t>
            </w:r>
          </w:p>
        </w:tc>
      </w:tr>
      <w:tr>
        <w:trPr>
          <w:trHeight w:val="142"/>
        </w:trPr>
        <w:tc>
          <w:tcPr>
            <w:tcW w:w="62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stock options exercised</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Sale of common stock in at-the-market offering, net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48,019</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Sale of common stock in underwritten public offering, net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91,404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64,529</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ESPP purchase</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on notes payable</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94,160</w:t>
            </w: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115,473</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63,992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68,989</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Effect of foreign currency exchange rate on cash</w:t>
            </w:r>
          </w:p>
        </w:tc>
        <w:tc>
          <w:tcPr>
            <w:tcW w:w="2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restricted cash, and cash equivalents at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110,181</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45,429</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restricted cash, and cash equivalents at end of period</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174,162</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114,353</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16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other non-current liabilities</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7,750</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191,152 shares of common stock issued in connection with the acquisition of UmanDiagnostics AB</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5,467</w:t>
            </w: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173,162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113,327</w:t>
            </w:r>
          </w:p>
        </w:tc>
      </w:tr>
      <w:tr>
        <w:trPr>
          <w:trHeight w:val="148"/>
        </w:trPr>
        <w:tc>
          <w:tcPr>
            <w:tcW w:w="62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r>
      <w:tr>
        <w:trPr>
          <w:trHeight w:val="142"/>
        </w:trPr>
        <w:tc>
          <w:tcPr>
            <w:tcW w:w="62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174,162</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114,353</w:t>
            </w: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Quanterix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3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6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Accumulated</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6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 shares</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 value</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3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June 30,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28,381,280</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$ 351,188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(26)$</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(240,156)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111,034</w:t>
            </w:r>
          </w:p>
        </w:tc>
      </w:tr>
      <w:tr>
        <w:trPr>
          <w:trHeight w:val="136"/>
        </w:trPr>
        <w:tc>
          <w:tcPr>
            <w:tcW w:w="36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Exercise of common stock options and vesting of restricted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130,302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3,048,774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91,404</w:t>
            </w: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ESPP stock purchase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4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w:t>
            </w: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760</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r>
      <w:tr>
        <w:trPr>
          <w:trHeight w:val="142"/>
        </w:trPr>
        <w:tc>
          <w:tcPr>
            <w:tcW w:w="3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31,583,509</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$ 446,228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734 $</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(237,953)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209,041</w:t>
            </w:r>
          </w:p>
        </w:tc>
      </w:tr>
      <w:tr>
        <w:trPr>
          <w:trHeight w:val="20"/>
        </w:trPr>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1"/>
        </w:trPr>
        <w:tc>
          <w:tcPr>
            <w:tcW w:w="3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48"/>
        </w:trPr>
        <w:tc>
          <w:tcPr>
            <w:tcW w:w="3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6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Accumulated</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6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 shares</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 value</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3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June 30, 2019</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24,894,019</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$ 270,136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 $</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(195,416)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74,745</w:t>
            </w: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common stock 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45,690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36"/>
        </w:trPr>
        <w:tc>
          <w:tcPr>
            <w:tcW w:w="36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Exercise of common stock options and vesting of restricted</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6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87,476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 of common stock in underwritten public offering, net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2,732,673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64,529</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for acquisition of Umandiagnostics AB</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191,152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r>
      <w:tr>
        <w:trPr>
          <w:trHeight w:val="149"/>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ESPP stock purchase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1,828</w:t>
            </w: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(1,135)</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w:t>
            </w:r>
          </w:p>
        </w:tc>
      </w:tr>
      <w:tr>
        <w:trPr>
          <w:trHeight w:val="14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(9,870)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(9,870)</w:t>
            </w:r>
          </w:p>
        </w:tc>
      </w:tr>
      <w:tr>
        <w:trPr>
          <w:trHeight w:val="142"/>
        </w:trPr>
        <w:tc>
          <w:tcPr>
            <w:tcW w:w="3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27,967,713</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$ 342,628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(1,135)$</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(205,286)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136,235</w:t>
            </w:r>
          </w:p>
        </w:tc>
      </w:tr>
      <w:tr>
        <w:trPr>
          <w:trHeight w:val="20"/>
        </w:trPr>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1"/>
        </w:trPr>
        <w:tc>
          <w:tcPr>
            <w:tcW w:w="3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49"/>
        </w:trPr>
        <w:tc>
          <w:tcPr>
            <w:tcW w:w="3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6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Accumulated</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6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 shares</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 value</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3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28,112,201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$ 345,027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(153)$</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(216,244)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128,658</w:t>
            </w:r>
          </w:p>
        </w:tc>
      </w:tr>
      <w:tr>
        <w:trPr>
          <w:trHeight w:val="136"/>
        </w:trPr>
        <w:tc>
          <w:tcPr>
            <w:tcW w:w="36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Exercise of common stock options and vesting of restricted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376,688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3,048,774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91,404</w:t>
            </w:r>
          </w:p>
        </w:tc>
      </w:tr>
      <w:tr>
        <w:trPr>
          <w:trHeight w:val="149"/>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ESPP stock purchase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6,970</w:t>
            </w:r>
          </w:p>
        </w:tc>
      </w:tr>
      <w:tr>
        <w:trPr>
          <w:trHeight w:val="149"/>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887</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(21,709)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(21,709)</w:t>
            </w:r>
          </w:p>
        </w:tc>
      </w:tr>
      <w:tr>
        <w:trPr>
          <w:trHeight w:val="142"/>
        </w:trPr>
        <w:tc>
          <w:tcPr>
            <w:tcW w:w="3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31,583,509</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$ 446,228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734 $</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(237,953)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209,041</w:t>
            </w:r>
          </w:p>
        </w:tc>
      </w:tr>
      <w:tr>
        <w:trPr>
          <w:trHeight w:val="20"/>
        </w:trPr>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1"/>
        </w:trPr>
        <w:tc>
          <w:tcPr>
            <w:tcW w:w="3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49"/>
        </w:trPr>
        <w:tc>
          <w:tcPr>
            <w:tcW w:w="3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6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Accumulated</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36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 shares</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 value</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42"/>
        </w:trPr>
        <w:tc>
          <w:tcPr>
            <w:tcW w:w="3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2018</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22,369,036</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$ 216,931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 $</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(175,888)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41,065</w:t>
            </w:r>
          </w:p>
        </w:tc>
      </w:tr>
      <w:tr>
        <w:trPr>
          <w:trHeight w:val="14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Cumulative-effect adjustment for the adoption of ASC 606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common stock warrants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45,690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36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Exercise of common stock options and vesting of restricted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1"/>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406,246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 of common stock in at-the-market offering,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2,186,163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48,019</w:t>
            </w:r>
          </w:p>
        </w:tc>
      </w:tr>
      <w:tr>
        <w:trPr>
          <w:trHeight w:val="149"/>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 of common stock in underwritten public offering, net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2,732,673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64,529</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for acquisition of Umandiagnostics AB</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191,152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r>
      <w:tr>
        <w:trPr>
          <w:trHeight w:val="149"/>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ESPP stock purchase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w:t>
            </w:r>
          </w:p>
        </w:tc>
      </w:tr>
      <w:tr>
        <w:trPr>
          <w:trHeight w:val="149"/>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(1,135)</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w:t>
            </w:r>
          </w:p>
        </w:tc>
      </w:tr>
      <w:tr>
        <w:trPr>
          <w:trHeight w:val="1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(29,838)</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(29,838)</w:t>
            </w:r>
          </w:p>
        </w:tc>
      </w:tr>
      <w:tr>
        <w:trPr>
          <w:trHeight w:val="142"/>
        </w:trPr>
        <w:tc>
          <w:tcPr>
            <w:tcW w:w="3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27,967,713</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$ 342,628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(1,135)$</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(205,286)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136,235</w:t>
            </w:r>
          </w:p>
        </w:tc>
      </w:tr>
      <w:tr>
        <w:trPr>
          <w:trHeight w:val="20"/>
        </w:trPr>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See accompanying notes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3" w:lineRule="exact"/>
        <w:rPr>
          <w:sz w:val="20"/>
          <w:szCs w:val="20"/>
          <w:color w:val="auto"/>
        </w:rPr>
      </w:pPr>
    </w:p>
    <w:p>
      <w:pPr>
        <w:jc w:val="both"/>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The Company completed the acquisition of UmanDiagnostics AB (Uman), a Swedish company located in Umea, Sweden, in August 2019. The acquisition closed with respect to 95% of the outstanding shares of capital stock of Uman on July 1, 2019 and with respect to the remaining 5% of the outstanding shares of capital stock of Uman on August 1, 2019.</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62"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On March 19, 2019, the Company entered into a Sales Agreement (the Sales Agreement) with Cowen and Company, LLC (Cowen) with respect to an “at-the-market” offering program under which the Company may offer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sell, from time to time at its sole discretion, shares of its common stock, par value $0.001 per share, having an aggregate offering price of up to $50.0 million through Cowen as its sales agent.</w:t>
      </w:r>
    </w:p>
    <w:p>
      <w:pPr>
        <w:spacing w:after="0" w:line="162" w:lineRule="exact"/>
        <w:rPr>
          <w:sz w:val="20"/>
          <w:szCs w:val="20"/>
          <w:color w:val="auto"/>
        </w:rPr>
      </w:pPr>
    </w:p>
    <w:p>
      <w:pPr>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w:t>
      </w:r>
    </w:p>
    <w:p>
      <w:pPr>
        <w:spacing w:after="0" w:line="18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On August 6, 2020, the Company delivered written notice to Cowen to terminate the Sales Agreement, which termination the parties agreed to make immediately effective.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On August 8, 2019, the Company entered into an underwriting agreement with J.P. Morgan Securities LLC and SVB Leerink LLC,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spacing w:after="0" w:line="18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On August 6, 2020, the Company entered into an underwriting agreement with SVB Leerink LLC and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2019 filed with the Securities and Exchange Commission on March 13, 2020 (the 2019 Annual Report on Form 10-K). The consolidated financial information as of December 31, 2019 has been derived from the audited 2019 consolidated financial statements included in the 2019 Annual Report on Form 10-K.</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are related to revenue recognition, fair value of equity instruments and notes receivable, fair value of assets acquired and liabilities assumed in acquisitions, valuation allowances recorded against deferred tax assets, right-of-use assets and lease liabilities, and stock-based compensation. Actual results could differ from those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translates assets and liabilities of its foreign subsidiaries at rates in effect at the end of the reporting period. Revenues and expenses are translated at average rates in effect during the reporting period. Translation adjustments are included in accumulated other comprehensive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in accordance with the provisions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2020 the Company did not have any significant uncertain tax positions.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Company generally recognizes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value of tangible and intangible assets, net of liabilities assumed, is recorded as goodwill. These valuations require significant estimates and assumptions, especially with respect to intangible assets.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Restricted cash primarily represents collateral for a letter of credit issued as security for the lease for the Company’s headquarters in Billerica, Massachusetts. The restricted cash is long term in nature as the Company will not have access to the funds until more than one year from September 30, 2020.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is considered to be an “emerging growth company” (EGC)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may remain an EGC until the last day of the fiscal year in which the fifth anniversary of the closing of the initial public offering occurs, although if the market value the Company’s common stock that is held by non-affiliates exceeds $700 million as of any June 30 before that time or if the Company has annual gross revenues of $1.07 billion or more in any fiscal year, the Company would cease to be an EGC as of December 31 of the applicable year. The Company also would cease to be an EGC if it issues more than $1 billion of non-convertible debt over a three-year period.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EGC.</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2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established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by issuing Accounting Standards Update (ASU) No. 2016-02, which requires lessees to recognize leases on the balance sheet and disclose key information about leasing arrangements. ASC 842 was subsequently amended by ASU No.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ASU No. 2018-10,</w:t>
      </w:r>
      <w:r>
        <w:rPr>
          <w:rFonts w:ascii="Times New Roman" w:cs="Times New Roman" w:eastAsia="Times New Roman" w:hAnsi="Times New Roman"/>
          <w:sz w:val="18"/>
          <w:szCs w:val="18"/>
          <w:i w:val="1"/>
          <w:iCs w:val="1"/>
          <w:color w:val="auto"/>
        </w:rPr>
        <w:t xml:space="preserve"> Codification Improvements to Topic 842, Leases</w:t>
      </w:r>
      <w:r>
        <w:rPr>
          <w:rFonts w:ascii="Times New Roman" w:cs="Times New Roman" w:eastAsia="Times New Roman" w:hAnsi="Times New Roman"/>
          <w:sz w:val="18"/>
          <w:szCs w:val="18"/>
          <w:color w:val="auto"/>
        </w:rPr>
        <w:t>; and ASU No. 2018-11,</w:t>
      </w:r>
      <w:r>
        <w:rPr>
          <w:rFonts w:ascii="Times New Roman" w:cs="Times New Roman" w:eastAsia="Times New Roman" w:hAnsi="Times New Roman"/>
          <w:sz w:val="18"/>
          <w:szCs w:val="18"/>
          <w:i w:val="1"/>
          <w:iCs w:val="1"/>
          <w:color w:val="auto"/>
        </w:rPr>
        <w:t xml:space="preserve"> Targeted Improvements (ASU 2018-11)</w:t>
      </w:r>
      <w:r>
        <w:rPr>
          <w:rFonts w:ascii="Times New Roman" w:cs="Times New Roman" w:eastAsia="Times New Roman" w:hAnsi="Times New Roman"/>
          <w:sz w:val="18"/>
          <w:szCs w:val="18"/>
          <w:color w:val="auto"/>
        </w:rPr>
        <w:t>. The new standard establishes a right-of-use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An optional transition approach is permitted under ASU 2018-11, applying the new standard to all leases existing at the date of initial application.</w:t>
      </w:r>
    </w:p>
    <w:p>
      <w:pPr>
        <w:spacing w:after="0" w:line="19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On January 1, 2020, the Company adopted ASC 842 using the optional transition method allowing entities to recognize a cumulative effect adjustment to the opening balance sheet without restating comparative prior periods presented. ASC 842 requires a lessee to recognize assets and liabilities on the balance sheet for most leases and changes many key definitions, including the definition of a lease. Lessees will continue to differentiate between finance leases and operating, and classification will impact expense recognition.</w:t>
      </w:r>
    </w:p>
    <w:p>
      <w:pPr>
        <w:spacing w:after="0" w:line="183"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elected the following practical expedients for all lease asset classes, which must be elected as a package and applied consistently to all of its leases at the transition date: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are classified as operating leases); and iii) the Company did not reassess initial direct costs for any existing leases.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facts and circumstances present in the arrangement. Leases with a term greater than one year are recognized on the balance sheet as right-of-use assets and short-term and long-term lease liabilities, as applicable. The Company has elected the practical expedient not to recognize leases on the balance sheet with a term of twelve months or less. The Company’s leases consist of office and lab space and office equipment. All of the Company’s leases are classified as operating, and options to renew a lease are only included in the lease term to the extent those options are reasonably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certain to be exercised. Additionally, the Company elected to apply the practical expedient not to separate lease and nonlease components for all leases.</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initially recorded based on the present value of lease payments over the expected remaining lease term. The rate implicit in lease contracts is typically not readily determinable and, as a result, the Company utilizes its incremental borrowing rate to discount lease payments, which reflects the fixed rate at which the Company could borrow on a collateralized basis the amount of the lease payments,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spacing w:after="0" w:line="18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adoption of ASC 842 resulted in the recognition of operating lease ROU assets and operating lease liabilities of $12.2 million and $22.8 million, respectively, on the Company’s condensed consolidated balance sheet, with the difference between the ROU asset and lease liability primarily attributable to unamortized lease incentives and deferred rent related to its lease for its corporate headquarters at 900 Middlesex Turnpike in Billerica, Massachusetts (the “900 Middlesex Turnpike Lease”).</w:t>
      </w:r>
    </w:p>
    <w:p>
      <w:pPr>
        <w:spacing w:after="0" w:line="181"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 Simplifying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Test for Goodwill Impairment</w:t>
      </w:r>
      <w:r>
        <w:rPr>
          <w:rFonts w:ascii="Times New Roman" w:cs="Times New Roman" w:eastAsia="Times New Roman" w:hAnsi="Times New Roman"/>
          <w:sz w:val="18"/>
          <w:szCs w:val="18"/>
          <w:color w:val="auto"/>
        </w:rPr>
        <w:t>. This ASU eliminates Step 2 from the goodwill impairment test. In addition,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Company adopted this ASU on January 1, 2020 with no material effect to its financial statements.</w:t>
      </w:r>
    </w:p>
    <w:p>
      <w:pPr>
        <w:spacing w:after="0" w:line="18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Fair Value Measurement (ASU 2018-13)</w:t>
      </w:r>
      <w:r>
        <w:rPr>
          <w:rFonts w:ascii="Times New Roman" w:cs="Times New Roman" w:eastAsia="Times New Roman" w:hAnsi="Times New Roman"/>
          <w:sz w:val="18"/>
          <w:szCs w:val="18"/>
          <w:color w:val="auto"/>
        </w:rPr>
        <w:t>. This ASU removed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(1) the amount of 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and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was effective for fiscal years beginning after December 15, 2019 with early adoption permitted. The Company adopted this ASU on January 1, 2020 with no material effect to its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52"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 (ASU 2016-13)</w:t>
      </w:r>
      <w:r>
        <w:rPr>
          <w:rFonts w:ascii="Times New Roman" w:cs="Times New Roman" w:eastAsia="Times New Roman" w:hAnsi="Times New Roman"/>
          <w:sz w:val="18"/>
          <w:szCs w:val="18"/>
          <w:color w:val="auto"/>
        </w:rPr>
        <w:t>, which amends the impairment model by requiring entities to 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approach based on expected losses to estimate credit losses on certain types of financial instruments, including trade receivables and available-for-sale debt securities. The standard is effective for the Company beginning in the first quarter of 2022, with early adoption permitted. The Company is currently evaluating the expected impact of ASU 2016-13 on its financial statements.</w:t>
      </w:r>
    </w:p>
    <w:p>
      <w:pPr>
        <w:spacing w:after="0" w:line="18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Customer’s Accounting for Implementation Costs Incurred in a Cloud Computing Arrangement That Is a Service Contract (ASU 2018-15). </w:t>
      </w:r>
      <w:r>
        <w:rPr>
          <w:rFonts w:ascii="Times New Roman" w:cs="Times New Roman" w:eastAsia="Times New Roman" w:hAnsi="Times New Roman"/>
          <w:sz w:val="18"/>
          <w:szCs w:val="18"/>
          <w:color w:val="auto"/>
        </w:rPr>
        <w:t>This ASU addresses the accounting for implementation, setup and other upfront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by a customer in a cloud computing or hosting arrangement. The guidance aligns the accounting treatment of these costs incurred in a hosting arrangement treated as a service contract with the requirements for capitalization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amortization costs to develop or obtain internal-use software. The guidance is effective for fiscal years beginning after December 15, 2020 and early adoption is permitted. The guidance can be adopted either retrospectively or prospectively. The Company is currently evaluating the expected impact of ASU 2018-15 on its financial statements.</w:t>
      </w:r>
    </w:p>
    <w:p>
      <w:pPr>
        <w:spacing w:after="0" w:line="176"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and recent accounting pronouncements previously disclosed in the 2019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56" w:lineRule="exact"/>
        <w:rPr>
          <w:sz w:val="20"/>
          <w:szCs w:val="20"/>
          <w:color w:val="auto"/>
        </w:rPr>
      </w:pPr>
    </w:p>
    <w:p>
      <w:pPr>
        <w:ind w:left="60" w:right="179"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on January 1, 2019, using the modified retrospective method for all contracts not completed as of the date of adoption.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and other revenue</w:t>
      </w:r>
    </w:p>
    <w:p>
      <w:pPr>
        <w:spacing w:after="0" w:line="229" w:lineRule="exact"/>
        <w:rPr>
          <w:sz w:val="20"/>
          <w:szCs w:val="20"/>
          <w:color w:val="auto"/>
        </w:rPr>
      </w:pPr>
    </w:p>
    <w:p>
      <w:pPr>
        <w:ind w:left="60" w:right="219" w:firstLine="648"/>
        <w:spacing w:after="0" w:line="273" w:lineRule="auto"/>
        <w:rPr>
          <w:sz w:val="20"/>
          <w:szCs w:val="20"/>
          <w:color w:val="auto"/>
        </w:rPr>
      </w:pPr>
      <w:r>
        <w:rPr>
          <w:rFonts w:ascii="Times New Roman" w:cs="Times New Roman" w:eastAsia="Times New Roman" w:hAnsi="Times New Roman"/>
          <w:sz w:val="17"/>
          <w:szCs w:val="17"/>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27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recognized revenues from a sales- or usage-based royalties related to the licensing of the Company’s technology and intellectual property.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When disaggregating revenue, the Company considered all of the economic factors that may affect its revenues.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from contracts with customers by revenue type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Pr>
          <w:p>
            <w:pPr>
              <w:spacing w:after="0"/>
              <w:rPr>
                <w:sz w:val="18"/>
                <w:szCs w:val="18"/>
                <w:color w:val="auto"/>
              </w:rPr>
            </w:pP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tcPr>
          <w:p>
            <w:pPr>
              <w:spacing w:after="0"/>
              <w:rPr>
                <w:sz w:val="18"/>
                <w:szCs w:val="18"/>
                <w:color w:val="auto"/>
              </w:rPr>
            </w:pPr>
          </w:p>
        </w:tc>
        <w:tc>
          <w:tcPr>
            <w:tcW w:w="3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Consumable and other</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and other revenues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Service-type warranties</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Research services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Collaboration and license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Collaboration and license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$ 11,244</w:t>
            </w:r>
          </w:p>
        </w:tc>
        <w:tc>
          <w:tcPr>
            <w:tcW w:w="20" w:type="dxa"/>
            <w:vAlign w:val="bottom"/>
            <w:shd w:val="clear" w:color="auto" w:fill="CCEEFF"/>
          </w:tcPr>
          <w:p>
            <w:pPr>
              <w:spacing w:after="0"/>
              <w:rPr>
                <w:sz w:val="20"/>
                <w:szCs w:val="20"/>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$ 11,244</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Asia Pacific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1,387</w:t>
            </w:r>
          </w:p>
        </w:tc>
        <w:tc>
          <w:tcPr>
            <w:tcW w:w="20" w:type="dxa"/>
            <w:vAlign w:val="bottom"/>
          </w:tcPr>
          <w:p>
            <w:pPr>
              <w:spacing w:after="0"/>
              <w:rPr>
                <w:sz w:val="18"/>
                <w:szCs w:val="18"/>
                <w:color w:val="auto"/>
              </w:rPr>
            </w:pPr>
          </w:p>
        </w:tc>
        <w:tc>
          <w:tcPr>
            <w:tcW w:w="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 w:type="dxa"/>
            <w:vAlign w:val="bottom"/>
          </w:tcPr>
          <w:p>
            <w:pPr>
              <w:spacing w:after="0"/>
              <w:rPr>
                <w:sz w:val="18"/>
                <w:szCs w:val="18"/>
                <w:color w:val="auto"/>
              </w:rPr>
            </w:pPr>
          </w:p>
        </w:tc>
        <w:tc>
          <w:tcPr>
            <w:tcW w:w="3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 and other revenues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Service-type warranties</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services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Collaboration and license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Collaboration and license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7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has recorded sales- and usage-based royalty revenue for the three and nine months ended September 30, 2020 related to the intellectual property licensed by the Company. The Company recognizes revenue from sales- and usage-based royalty revenue at the later of when the sale or usage occurs and the satisfaction or partial satisfaction of the performance obligation to which the royalty has been allocated.</w:t>
      </w:r>
    </w:p>
    <w:p>
      <w:pPr>
        <w:spacing w:after="0" w:line="19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aggregate amount of transaction price that is allocated to performance obligations that have not yet been satisfied or are partially satisfied as of September 30, 2020 and 2019 is $4.2 million and $5.3 million, respectively. As of September 30, 2020, of the performance obligations not yet satisfied or partially satisfied, $3.8 million is expected to be recognized as revenue in the next 12 months, with the remainder to be recognized within the 24 months thereafter. The $3.8 million at September 30, 2020 principally consists of amounts billed for undelivered services related to initial and extended service-type warranties and research services, as well as $0.5 million related to undelivered licenses of intellectual property for a diagnostics company. During the three and nine months ended September 30, 2020, the Company recognized $1.2 million of previously deferred revenue as a result of entering into a license agreement with a diagnostics company (see Note 13).</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deferred revenue from contracts with customers were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91"/>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5,163</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5160" w:space="720"/>
            <w:col w:w="3139"/>
          </w:cols>
          <w:pgMar w:left="1440" w:top="513" w:right="1440" w:bottom="1440" w:gutter="0" w:footer="0" w:header="0"/>
          <w:type w:val="continuous"/>
        </w:sectPr>
      </w:pPr>
    </w:p>
    <w:p>
      <w:pPr>
        <w:spacing w:after="0" w:line="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Recognition of costs to obtain a contract</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91"/>
        </w:trPr>
        <w:tc>
          <w:tcPr>
            <w:tcW w:w="2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280" w:space="720"/>
            <w:col w:w="3019"/>
          </w:cols>
          <w:pgMar w:left="1440" w:top="513" w:right="1440" w:bottom="1440" w:gutter="0" w:footer="0" w:header="0"/>
          <w:type w:val="continuous"/>
        </w:sectPr>
      </w:pPr>
    </w:p>
    <w:p>
      <w:pPr>
        <w:ind w:left="60" w:right="479" w:firstLine="648"/>
        <w:spacing w:after="0" w:line="312" w:lineRule="auto"/>
        <w:rPr>
          <w:sz w:val="20"/>
          <w:szCs w:val="20"/>
          <w:color w:val="auto"/>
        </w:rPr>
      </w:pPr>
      <w:r>
        <w:rPr>
          <w:rFonts w:ascii="Times New Roman" w:cs="Times New Roman" w:eastAsia="Times New Roman" w:hAnsi="Times New Roman"/>
          <w:sz w:val="17"/>
          <w:szCs w:val="17"/>
          <w:color w:val="auto"/>
        </w:rPr>
        <w:t>The Company has classified the balance of capitalized costs to obtain a contract as a component of prepaid expenses and other current assets and classifies the expense as a component of cost of goods sold and selling, general,</w:t>
      </w:r>
    </w:p>
    <w:p>
      <w:pPr>
        <w:sectPr>
          <w:pgSz w:w="11900" w:h="16838" w:orient="portrait"/>
          <w:cols w:equalWidth="0" w:num="1">
            <w:col w:w="9019"/>
          </w:cols>
          <w:pgMar w:left="1440" w:top="513" w:right="1440"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and administrative expense over the estimated life of the contract. The Company considers potential impairment in these amounts each period.</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ASC 606 provides entities with certain practical expedients and accounting policy elections to minimize the cost and burden of adoption.</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will exclude from its transaction price any amounts collected from customers related to sales and other similar taxes.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September 30, 2020 and 2019, respectively.</w:t>
      </w:r>
    </w:p>
    <w:p>
      <w:pPr>
        <w:spacing w:after="0" w:line="183"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has a contract with the National Institutes of Health (NIH) under the Rapid Acceleration of Diagnostics (RADx) program. The Company recognizes revenue from this contract as it performs services under this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grant revenue for each period presented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r>
      <w:tr>
        <w:trPr>
          <w:trHeight w:val="173"/>
        </w:trPr>
        <w:tc>
          <w:tcPr>
            <w:tcW w:w="2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r>
      <w:tr>
        <w:trPr>
          <w:trHeight w:val="196"/>
        </w:trPr>
        <w:tc>
          <w:tcPr>
            <w:tcW w:w="24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RADx</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4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1,929</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revenue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420" w:type="dxa"/>
            <w:vAlign w:val="bottom"/>
          </w:tcPr>
          <w:p>
            <w:pPr>
              <w:spacing w:after="0"/>
              <w:rPr>
                <w:sz w:val="18"/>
                <w:szCs w:val="18"/>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1,929</w:t>
            </w:r>
          </w:p>
        </w:tc>
        <w:tc>
          <w:tcPr>
            <w:tcW w:w="4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On June 22, 2020, the Company entered into a workplan 1 (WP1) award under NIH’s RADx program to assess the feasibility of a novel SARS-CoV-2 antigen detection test using the Company’s Simoa technology. The Company recognized $1.9 million of grant revenue from the WP1 award during the three and nine months ended September 30, 2020.</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September 29, 2020, the Company entered into a workplan 2 (WP2) contract with NIH under its RADx program. The contract, which has a total award value of $18.2 million, will accelerate the continued development, scale-up, and deployment of the novel SARS-CoV-2 antigen detection test using the Company’s Simoa technology. The contract provides funding to expand assay kit manufacturing capacity and commercial deployment readiness. Release of the $18.2 million of funding under the WP2 contract will be based on the achievement of certain milestones, and there is no assurance that the Company can meet all the milestones on a timely basis, if at all. If the Company does not meet all the milestones, it will not be able access the full $18.2 million in funding under the contract. No revenue was recognized related to the WP2 contract during the three and nine months ended September 30,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Net income (loss) per share</w:t>
      </w:r>
    </w:p>
    <w:p>
      <w:pPr>
        <w:spacing w:after="0" w:line="229" w:lineRule="exact"/>
        <w:rPr>
          <w:sz w:val="20"/>
          <w:szCs w:val="20"/>
          <w:color w:val="auto"/>
        </w:rPr>
      </w:pPr>
    </w:p>
    <w:p>
      <w:pPr>
        <w:ind w:left="60" w:right="279" w:firstLine="666"/>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determined by dividing net income (loss) by the weighted average common shares outstanding during the period, without consideration for potentially dilutive shares. Diluted net income (loss) per share is determined by dividing net income (loss) by the weighted average common shares outstanding and potentially dilutive shares for the period determined using the treasury stock and if-converted methods.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 reconciliation of basic and diluted shares is as follows (in thousands, except share and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(9,870)</w:t>
            </w:r>
          </w:p>
        </w:tc>
        <w:tc>
          <w:tcPr>
            <w:tcW w:w="1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(21,709)</w:t>
            </w:r>
          </w:p>
        </w:tc>
        <w:tc>
          <w:tcPr>
            <w:tcW w:w="2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30,139,157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26,627,831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28,881,716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24,102,887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 average common equivalent shares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1,247,282</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Diluted weighted average common shares outstanding</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31,386,439</w:t>
            </w: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26,627,831</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28,881,716</w:t>
            </w:r>
          </w:p>
        </w:tc>
        <w:tc>
          <w:tcPr>
            <w:tcW w:w="2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24,102,887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Basic net income (loss) per share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(0.37)</w:t>
            </w:r>
          </w:p>
        </w:tc>
        <w:tc>
          <w:tcPr>
            <w:tcW w:w="28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50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60" w:type="dxa"/>
            <w:vAlign w:val="bottom"/>
            <w:vMerge w:val="continue"/>
          </w:tcPr>
          <w:p>
            <w:pPr>
              <w:spacing w:after="0"/>
              <w:rPr>
                <w:sz w:val="11"/>
                <w:szCs w:val="11"/>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(0.37)</w:t>
            </w:r>
          </w:p>
        </w:tc>
        <w:tc>
          <w:tcPr>
            <w:tcW w:w="120" w:type="dxa"/>
            <w:vAlign w:val="bottom"/>
            <w:vMerge w:val="continue"/>
          </w:tcPr>
          <w:p>
            <w:pPr>
              <w:spacing w:after="0"/>
              <w:rPr>
                <w:sz w:val="11"/>
                <w:szCs w:val="11"/>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(0.75)</w:t>
            </w:r>
          </w:p>
        </w:tc>
        <w:tc>
          <w:tcPr>
            <w:tcW w:w="260" w:type="dxa"/>
            <w:vAlign w:val="bottom"/>
            <w:vMerge w:val="continue"/>
          </w:tcPr>
          <w:p>
            <w:pPr>
              <w:spacing w:after="0"/>
              <w:rPr>
                <w:sz w:val="11"/>
                <w:szCs w:val="11"/>
                <w:color w:val="auto"/>
              </w:rPr>
            </w:pPr>
          </w:p>
        </w:tc>
        <w:tc>
          <w:tcPr>
            <w:tcW w:w="5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w:t>
            </w:r>
          </w:p>
        </w:tc>
        <w:tc>
          <w:tcPr>
            <w:tcW w:w="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119" w:firstLine="71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101,995 shares of weighted average restricted common stock, restricted stock units, stock options, and warrants were excluded from the calculation of diluted weighted average common shares outstanding as their effect was antidilutive.</w:t>
      </w:r>
    </w:p>
    <w:p>
      <w:pPr>
        <w:spacing w:after="0" w:line="68" w:lineRule="exact"/>
        <w:rPr>
          <w:sz w:val="20"/>
          <w:szCs w:val="20"/>
          <w:color w:val="auto"/>
        </w:rPr>
      </w:pPr>
    </w:p>
    <w:p>
      <w:pPr>
        <w:ind w:left="60" w:right="159" w:firstLine="711"/>
        <w:spacing w:after="0" w:line="281" w:lineRule="auto"/>
        <w:rPr>
          <w:sz w:val="20"/>
          <w:szCs w:val="20"/>
          <w:color w:val="auto"/>
        </w:rPr>
      </w:pPr>
      <w:r>
        <w:rPr>
          <w:rFonts w:ascii="Times New Roman" w:cs="Times New Roman" w:eastAsia="Times New Roman" w:hAnsi="Times New Roman"/>
          <w:sz w:val="17"/>
          <w:szCs w:val="17"/>
          <w:color w:val="auto"/>
        </w:rPr>
        <w:t>For purposes of the diluted net loss per share calculation, unvested restricted common stock, restricted stock units, stock options, and warrants are considered to be potentially dilutive securities, but are excluded from the calculation of diluted net loss per share because their effect would be anti-dilutive and therefore basic and diluted net loss per share were the same for the nine months ended September 30, 2020, and the three and nine months ended September 30, 2019.</w:t>
      </w:r>
    </w:p>
    <w:p>
      <w:pPr>
        <w:spacing w:after="0" w:line="272" w:lineRule="exact"/>
        <w:rPr>
          <w:sz w:val="20"/>
          <w:szCs w:val="20"/>
          <w:color w:val="auto"/>
        </w:rPr>
      </w:pPr>
    </w:p>
    <w:p>
      <w:pPr>
        <w:ind w:left="60" w:right="519" w:firstLine="66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for the nine months ended September 30, 2020 and the three and nine months ended September 30, 2019 because to do so would be anti-dilutive (in common stock equivalent shares):</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3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5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and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453,212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422,336</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2,633,486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2,662,334</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3,096,698</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3,094,670</w:t>
            </w:r>
          </w:p>
        </w:tc>
        <w:tc>
          <w:tcPr>
            <w:tcW w:w="6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and 2019,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inputs are inputs that reflect the Company’s assumptions about the inputs that market participants would use in pricing the asset or liability, and are developed based on the best information available in the circumstances.</w:t>
      </w:r>
    </w:p>
    <w:p>
      <w:pPr>
        <w:spacing w:after="0" w:line="16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Level 2 inputs are inputs other than quoted prices that are observable for the asset or liability, either directly or indirectly; and</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Fair value measurements as of September 30, 2020 are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32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unobservable</w:t>
            </w:r>
          </w:p>
        </w:tc>
      </w:t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$ 162,038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$ 162,188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162,038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Fair value measurements as of December 31, 2019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8"/>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0" w:type="dxa"/>
            <w:vAlign w:val="bottom"/>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$ 102,749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102,749</w:t>
            </w: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$ 102,899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102,749</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Inventory comprises commercial instruments, assays, and the materials required to manufacture limited instruments and assays.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7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preferred stock investment is recorded on a cost basis in other non-current assets on the accompanying balance sheets as the Company does not have a controlling interest, does not have the ability to exercise significant influence over the privately held company, and the fair value of the equity investment is not readily determinable. The Company performs an impairment analysis at each reporting period to determine if there is any readily available fair value information that would indicate an impairment. The Company has determined there was no impairment during the nine months ended September 30, 2020 or in any prior period.</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convertible note is held as an available-for-sale investment, which is carried at fair market value, with the unrealized gains and losses included in the determination of comprehensive income and reporting stockholders equity. Any gains or losses recognized by the Company related to the change in fair value of the convertible note were deemed immaterial. When determining the estimated fair value of the convertible notes, the Company used a commonly accepted valuation methodology.</w:t>
      </w:r>
    </w:p>
    <w:p>
      <w:pPr>
        <w:spacing w:after="0" w:line="18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Equity investments that do not result in consolidation and are not accounted for under the equity method are measured at fair value, with any changes in fair value recognized in net income. For any such investments that do not have readily determinable fair values, the Company elects the measurement alternative to measure the investments at cost minus impairment, if any, plus or minus changes resulting from observable price changes in orderly transactions for the identical or a similar investment of the same issuer.</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Other accrued expenses and other non-current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inventory</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obligation incentive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part of the Company’s adoption of ASC 842 on January 1, 2020, the Company derecognized the leasehold obligation incentive of $7.6 million and deferred rent of $3.0 million. Per ASC 842, the leasehold obligation incentive and deferred rent reduced the Company’s ROU assets at time of adoption for the related leases. Refer to Note 2 and Note 10 for further detail.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9" w:hanging="10"/>
        <w:spacing w:after="0" w:line="503" w:lineRule="auto"/>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stock-based compensation, stock options, restricted stock and restricted stock units Warrants</w:t>
      </w: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no warrants during the nine months ended September 30, 2020 and had 10,000 warrants outstanding as of September 30, 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expense for all stock awards consists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60" w:type="dxa"/>
            <w:vAlign w:val="bottom"/>
            <w:tcBorders>
              <w:bottom w:val="single" w:sz="8" w:color="CCEEFF"/>
            </w:tcBorders>
          </w:tcPr>
          <w:p>
            <w:pPr>
              <w:spacing w:after="0"/>
              <w:rPr>
                <w:sz w:val="18"/>
                <w:szCs w:val="18"/>
                <w:color w:val="auto"/>
              </w:rPr>
            </w:pP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under the 2007 Stock Option and Grant Plan (the 2007 Plan), options to purchase 1,026,572 shares of common stock were outstanding and no shares of common stock were available for future awards. In connection with the completion of the Company’s initial public offering (IPO) in December 2017, the Company terminated the 2007 Plan.</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December 2017, the Company adopted the 2017 Employee, Director and Consultant Equity Incentive Plan (the 2017 Plan), under which it may grant incentive stock options, non-qualified stock options, restricted stock, and other stock-based awards. Upon its adoption,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became effective.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The number of shares available for grant under the 2017 Plan increased by 1,126,172 on January 1, 2020 due to this provision. As of September 30, 2020, under the 2017 Plan, options to purchase 1,606,914 shares of common stock were outstanding and unvested restricted stock units for 453,212 shares of common stock were outstanding. As of September 30, 2020, 809,802 shares were available for grant under the 2017 Plan.</w:t>
      </w:r>
    </w:p>
    <w:p>
      <w:pPr>
        <w:spacing w:after="0" w:line="197"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In December 2017, the Company adopted the 2017 Employee Stock Purchase Plan (the 2017 ESPP).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281,543 on January 1, 2020 due to this provision. As of September 30, 2020, 848,269 shares were available for issuance under the 2017 ESPP.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Under the 2007 Plan and the 2017 Plan, stock options may not be granted with exercise prices of less than fair market value on the date of the grant. Options generally vest ratably over a four-year period with 25% vesting on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first anniversary and the remaining 75% vesting ratably on a monthly basis over the remaining three years. These options expire ten years after the grant date. Activity under the 2007 Plan and the 2017 Plan was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r>
      <w:tr>
        <w:trPr>
          <w:trHeight w:val="173"/>
        </w:trPr>
        <w:tc>
          <w:tcPr>
            <w:tcW w:w="35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20" w:type="dxa"/>
            <w:vAlign w:val="bottom"/>
          </w:tcPr>
          <w:p>
            <w:pPr>
              <w:spacing w:after="0"/>
              <w:rPr>
                <w:sz w:val="15"/>
                <w:szCs w:val="15"/>
                <w:color w:val="auto"/>
              </w:rPr>
            </w:pP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2,507,062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24,870</w:t>
            </w: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475,663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(246,555)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w:t>
            </w: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44,159</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1,514,433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33,117</w:t>
            </w:r>
          </w:p>
        </w:tc>
      </w:tr>
    </w:tbl>
    <w:p>
      <w:pPr>
        <w:spacing w:after="0" w:line="19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fair value of options granted to employees and directors during the nine months ended September 30, 2020 and 2019 was $11.93 and $8.85 per share, respectively. The expense related to awards granted to employees was $1.2 million and $3.6 million for the three and nine months ended September 30, 2020, respectively. The expense related to awards granted to employees was $1.0 million and $2.7 million for the three and nine months ended September 30, 2019, respectively. The intrinsic value of stock options exercised was $2.3 million and $5.1 million for the three and nine months ended September 30, 2020, respectively. The intrinsic value of stock options exercised was $1.3 million and $5.5 million for the three and nine months ended September 30, 2019, respectively. Activity related to non-employee awards was not material to the three and nine months ended September 30, 2020 and 2019.</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Restricted common stock awards represent shares of common stock issued to employees subject to forfeiture if the vesting conditions are not satisfied. Vesting occurs periodically at specified time intervals and specified percentages. In January 2015, the Company issued 781,060 shares of restricted common stock to an executive of the Company under the 2007 Plan. The majority of these shares were issued subject to a four-year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common stock awards were granted or vested during the nine months ended September 30, 2020. As of September 30, 2020, the Company had 39,806 shares of unvested restricted common stock with a weighted average grant date fair value of $3.12 per share.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Restricted stock units (RSUs) represent the right to receive shares of common stock upon meeting specified vesting requirements. In the nine months ended September 30, 2020, the Company issued 248,898 RSUs to employees of the Company under the 2017 Plan. Under the terms of the agreements, 224,516 of the RSUs issued are subject to a four-year vesting schedule with 25% vesting on the first anniversary of the grant date and the remaining vesting 75%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ratably on a monthly basis over the remaining three years; 15,890 of the RSUs vest on December 31, 2020; 7,032 vested immediately upon grant; and 1,460 vested on May 31, 2020. A summary of RSU activity is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6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as of December 31,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248,898</w:t>
            </w:r>
          </w:p>
        </w:tc>
        <w:tc>
          <w:tcPr>
            <w:tcW w:w="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(130,133)</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400" w:type="dxa"/>
            <w:vAlign w:val="bottom"/>
            <w:tcBorders>
              <w:bottom w:val="single" w:sz="8" w:color="CCEEFF"/>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as of September 30,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453,212</w:t>
            </w:r>
          </w:p>
        </w:tc>
        <w:tc>
          <w:tcPr>
            <w:tcW w:w="4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expense related to awards granted to employees and directors was $1.1 million and $3.1 million for the three and nine months ended September 30, 2020, respectively. The expense related to awards granted to employees and directors was $0.8 million and $2.0 million for the three and nine months ended September 30, 2019, respectively.</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2020, there was $9.8 million of total unrecognized compensation cost related to unvested RSUs, which is expected to be recognized over the remaining weighted-average vesting period of 2.7 years.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900 Middlesex Turnpike Lease</w:t>
      </w:r>
    </w:p>
    <w:p>
      <w:pPr>
        <w:spacing w:after="0" w:line="227"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The Company’s primary lease is the 900 Middlesex Turnpike Lease. On October 2, 2018, the Company entered into a 137-month operating lease for the Company’s new headquarters in Billerica, Massachusetts. The lease is for approximately 92,000 square feet of office and laboratory space and commenced on April 1, 2019. The lease contains a period of free rent and escalating monthly rent payments. As part of the lease, the Company was required to enter into a $1.0 million Letter of Credit drawable by the lessor under specifically outlined conditions, which will be subsequently reduced throughout the lease term. Pursuant to a work letter entered into in connection with the 900 Middlesex Turnpike Lease, the landlord contributed an aggregate of $8.2 million toward the cost of construction and tenant improvements for the building. Under the lease the Company has the option to extend the lease for two successive five-year terms, and the renewal options are not reasonably certain to be exercised.</w:t>
      </w:r>
    </w:p>
    <w:p>
      <w:pPr>
        <w:spacing w:after="0" w:line="18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applying the ASC 842 transition guidance, the 900 Middlesex Turnpike Lease remained classified as an operating lease and the Company recorded ROU assets of $12.2 million and lease liability of $22.8 million on the effective date. The difference between the ROU and the lease liability was driven by the Company derecognizing deferred rent of $3.0 million and the lease obligation incentive of $7.6 million. The Company is recognizing rent expense on a straight-line basis throughout the remaining term of the leases.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48 Tvistevägen</w:t>
      </w:r>
    </w:p>
    <w:p>
      <w:pPr>
        <w:spacing w:after="0" w:line="22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has multiple leases at 48 Tvistevägen Umeå, Sweden for laboratory spaces, manufacturing spaces, and office space (the Uman leases). All of these Uman leases have been assessed as operating leases.</w:t>
      </w:r>
    </w:p>
    <w:p>
      <w:pPr>
        <w:spacing w:after="0" w:line="16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 applying the ASC 842 transition guidance, the Uman leases remained classified as operating leases and the Company recorded ROU assets of less than $0.1 million and lease liability of less than $0.1 million on the effective date. The Company is recognizing rent expense on a straight-line basis throughout the remaining term of the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of all lease costs recognized under ASC 842</w:t>
      </w:r>
    </w:p>
    <w:p>
      <w:pPr>
        <w:spacing w:after="0" w:line="227"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and other information pertaining to the Company’s operating leases for the three and nine months ended September 30, 2020:</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w:t>
            </w:r>
          </w:p>
        </w:tc>
        <w:tc>
          <w:tcPr>
            <w:tcW w:w="240" w:type="dxa"/>
            <w:vAlign w:val="bottom"/>
          </w:tcPr>
          <w:p>
            <w:pPr>
              <w:spacing w:after="0"/>
              <w:rPr>
                <w:sz w:val="13"/>
                <w:szCs w:val="13"/>
                <w:color w:val="auto"/>
              </w:rPr>
            </w:pPr>
          </w:p>
        </w:tc>
        <w:tc>
          <w:tcPr>
            <w:tcW w:w="2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5"/>
                <w:szCs w:val="15"/>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 (1)</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40" w:type="dxa"/>
            <w:vAlign w:val="bottom"/>
          </w:tcPr>
          <w:p>
            <w:pPr>
              <w:spacing w:after="0"/>
              <w:rPr>
                <w:sz w:val="18"/>
                <w:szCs w:val="18"/>
                <w:color w:val="auto"/>
              </w:rPr>
            </w:pPr>
          </w:p>
        </w:tc>
        <w:tc>
          <w:tcPr>
            <w:tcW w:w="2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w w:val="98"/>
              </w:rPr>
              <w:t>9.9 years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19" w:firstLine="638"/>
        <w:spacing w:after="0" w:line="282" w:lineRule="auto"/>
        <w:tabs>
          <w:tab w:leader="none" w:pos="9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costs and variable lease costs incurred by the Company for the three and nine months ended September 30, 2020 were immaterial.</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future minimum commitments under ASC 842 under the Company’s operating leases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 (in thousands)</w:t>
            </w:r>
          </w:p>
        </w:tc>
        <w:tc>
          <w:tcPr>
            <w:tcW w:w="4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2020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16"/>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 and thereafter</w:t>
            </w: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22,203</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w:t>
            </w:r>
          </w:p>
        </w:tc>
      </w:tr>
      <w:tr>
        <w:trPr>
          <w:trHeight w:val="216"/>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w:t>
            </w:r>
          </w:p>
        </w:tc>
      </w:tr>
      <w:tr>
        <w:trPr>
          <w:trHeight w:val="21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w:t>
            </w:r>
          </w:p>
        </w:tc>
      </w:tr>
      <w:tr>
        <w:trPr>
          <w:trHeight w:val="20"/>
        </w:trPr>
        <w:tc>
          <w:tcPr>
            <w:tcW w:w="5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June 2007, 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and nine months ended September 30, 2020 and 2019, the Company recorded royalty expense of $0.3 million, $0.3 million, $0.8 million, and $0.7 million, respectively, in cost of product revenue on the consolidated statements of operations. During the three and nine months ended September 30, 2020, the Company incurred $1.0 million in cost of collaboration and license revenue owed to Tufts related to sublicensing certain technology and intellectual property to Abbott Laboratories (see Note 13).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licenses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2012, the Company entered into a license agreement for certain intellectual property with a third party. The non-exclusive, non-sublicensable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In September 2019, all remaining patents related to the intellectual property expired and the license agreement terminated. As this agreement was terminated in 2019, the Company recorded no royalty expense during the three and nine months ended September 30, 2020 and royalty expense of less than $0.1 million in cost of product revenue on the consolidated statements of operations during the three and nine months ended</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Development and supply agreement</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Through the Company’s development agreement with STRATEC Biomedical, as amended in December 2016, the parties agreed on additional development services for an additional fee, which is payable when the additional development is completed. A total of $11.7 million is payable to STRATEC upon completion of the development activities. This amount is being recorded to research and development expense and accrued expenses as the services are performed. The initial services were completed during the year ended December 31, 2018. The Company began substantive additional development activities in the first quarter of 2019. These additional development activities were continued throughout the second of 2019 and completed in the third quarter of 2019.</w:t>
      </w:r>
    </w:p>
    <w:p>
      <w:pPr>
        <w:spacing w:after="0" w:line="18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September 30, 2020, the Company has satisfied its required minimum purchase amount per the supply agreement.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September 30, 2020 and December 31, 2019 was insignificant as there was a low probability of the warrants being issued.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6" w:lineRule="exact"/>
        <w:rPr>
          <w:sz w:val="20"/>
          <w:szCs w:val="20"/>
          <w:color w:val="auto"/>
        </w:rPr>
      </w:pPr>
    </w:p>
    <w:p>
      <w:pPr>
        <w:ind w:left="60" w:right="7619" w:hanging="10"/>
        <w:spacing w:after="0" w:line="532" w:lineRule="auto"/>
        <w:tabs>
          <w:tab w:leader="none" w:pos="33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Notes payable Loan agreement</w:t>
      </w:r>
    </w:p>
    <w:p>
      <w:pPr>
        <w:spacing w:after="0" w:line="1"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On April 14, 2014, the Company executed a loan agreement with a lender, as subsequently amended. As of September 30, 2020, there were no additional amounts available to borrow under the debt facility. The interest rate on this term loan is variable based on the greater of 8% or 8% plus the prime rate less 5.25%.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grant were accounted for as a reduction in the book value of debt and accreted through interest expense, using the effective interest rate method, over the term of the debt.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Amendment 5 to loan agreement</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Company signed Amendment 5 to the loan agreement (Amendment 5). Amendment 5 instituted a 2018 end of term charge of $0.1 million. Additionally, the term loan maturity date was extended until March 1, 2020. Amendment 5 additionally changed the due date of the end of term charge to, the earlier of (i) the term loan maturity date, (ii) the date that borrower prepays the outstanding secured obligations or (iii) the date that the secured obligations become due and payable. The Company incurred a cost of $0.05 million in relation to the execution of Amendment 5. In connection with the extension of the due date of the loan, the deferral of principal payments (Amendment 3) was further deferred until the new term loan maturity date.</w:t>
      </w:r>
    </w:p>
    <w:p>
      <w:pPr>
        <w:spacing w:after="0" w:line="189"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On March 2, 2020, the Company paid $0.1 million in end of term fees related to Amendment 5 of the loan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Amendment 6 to loan agreement</w:t>
      </w:r>
    </w:p>
    <w:p>
      <w:pPr>
        <w:spacing w:after="0" w:line="2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October 2018, the Company signed Amendment 6 to the loan agreement, which amended the loan agreement’s collateral clause to exclude the $1 million certificate of deposit associated with the lease on the Company’s new headquarters in Billerica, MA.</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Amendment 7 to loan agreement</w:t>
      </w:r>
    </w:p>
    <w:p>
      <w:pPr>
        <w:spacing w:after="0" w:line="22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On April 15, 2019, the Company signed Amendment 7 to the loan agreement, which extends the interest only payment period through July 1, 2021 and also extends the maturity date until October 1, 2021. As part of this Amendment 7, a “2019 End of Term Charge” for $50,000 was added to the loan agreement due on the earliest to occur of (i) the term loan maturity date, (ii) the date that the Company prepays the outstanding secured obligations and (iii) the date that the secured obligations become due and payable. In addition, the Company is required to pay the loan principal in four equal installments starting July 1, 2021 with the final principal payment to be made on October 1, 2021.</w:t>
      </w:r>
    </w:p>
    <w:p>
      <w:pPr>
        <w:spacing w:after="0" w:line="187"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remaining loan balance is classified as a long term liability since all principal payments are due greater than twelve months after the balance sheet date.</w:t>
      </w:r>
    </w:p>
    <w:p>
      <w:pPr>
        <w:spacing w:after="0" w:line="162" w:lineRule="exact"/>
        <w:rPr>
          <w:sz w:val="20"/>
          <w:szCs w:val="20"/>
          <w:color w:val="auto"/>
        </w:rPr>
      </w:pPr>
    </w:p>
    <w:p>
      <w:pPr>
        <w:ind w:left="60" w:right="83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debt payment obligations due based on principal payments are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2020</w:t>
            </w:r>
          </w:p>
        </w:tc>
        <w:tc>
          <w:tcPr>
            <w:tcW w:w="27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Non-cash interest expense related to debt discount amortization and accretion of end of term fees was $0.1 million or less for each of the three and nine months ended September 30, 2020 and 2019.</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Collaboration and license arrangements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 The Company recognized revenue of less than $0.1 million for the three and nine months ended September 30, 2020 and 2019 associated with these licenses.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$1.2 million of previously deferred revenue as a result of entering into a license agreement with a diagnostics company. As of September 30, 2020 and December 31, 2019, the Company had $0.5 million and $1.7 million, respectively, of deferred revenue related to ongoing negotiations with a diagnostics company.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Abbott Laboratories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29, 2020, the Company entered into a Non-Exclusive License Agreement (the Abbott License Agreement) with Abbott Laboratories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Abbott has agreed to pay the Company an initial license fee of $10.0 million in connection with the execution of the Abbott License Agreement, which was recognized as license revenue for the three months ended September 30, 2020. Abbott has also agreed to pay the Company milestone fees subject to the achievement by Abbott of certain development, regulatory and commercialization milestones and low single-digit royalties on net sales of licensed products.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Abbott License Agreement includes customary representations and warranties, covenants and indemnification obligations for a transaction of this nature. The Abbot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87"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within collaboration and license revenue approximately $10.0 million related to the initial license fee under the Abbott License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a 401(k) savings plan for its employees. The Company may make discretionary contributions for each 401(k) plan year. During the three and nine months ended September 30, 2020, the Company made contributions of $0.2 million and $0.5 million, respectively. During three and nine months ended September 30, 2019, the Company made contributions of $0.1 million and $0.4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Business combinations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UmanDiagnostics AB</w:t>
      </w:r>
    </w:p>
    <w:p>
      <w:pPr>
        <w:spacing w:after="0" w:line="187" w:lineRule="exact"/>
        <w:rPr>
          <w:sz w:val="20"/>
          <w:szCs w:val="20"/>
          <w:color w:val="auto"/>
        </w:rPr>
      </w:pPr>
    </w:p>
    <w:p>
      <w:pPr>
        <w:ind w:left="60" w:right="239" w:firstLine="648"/>
        <w:spacing w:after="0" w:line="277" w:lineRule="auto"/>
        <w:rPr>
          <w:sz w:val="20"/>
          <w:szCs w:val="20"/>
          <w:color w:val="auto"/>
        </w:rPr>
      </w:pPr>
      <w:r>
        <w:rPr>
          <w:rFonts w:ascii="Times New Roman" w:cs="Times New Roman" w:eastAsia="Times New Roman" w:hAnsi="Times New Roman"/>
          <w:sz w:val="17"/>
          <w:szCs w:val="17"/>
          <w:color w:val="auto"/>
        </w:rPr>
        <w:t>On August 1, 2019, the Company completed its acquisition of Uman for an aggregate purchase price of $21.2 million, comprised of (i) $15.7 million in cash plus (ii) 191,152 shares of common stock (representing $5.5 million based on the closing prices of the Company’s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w:t>
      </w:r>
    </w:p>
    <w:p>
      <w:pPr>
        <w:spacing w:after="0" w:line="1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Uman supplies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 This acquisition was considered a business acquisition for accounting purposes.</w:t>
      </w:r>
    </w:p>
    <w:p>
      <w:pPr>
        <w:spacing w:after="0" w:line="15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has accounted for the acquisition of Uman as a purchase of a business under U.S. GAAP. Under the acquisition method of accounting, the assets and liabilities of Uman are recorded as of the acquisition date of July 1, 2019, generally at their respective fair values, and consolidated with those of the Company. Purchase consideration in excess of the amounts recognized for the net assets acquired was recognized as goodwill and is not expected to be tax deductible in any taxing jurisdiction.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recognized for the acquisition, net of $1.2 million in cash and cash equivalents acquired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stock paid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acquired</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09"/>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price,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w:t>
            </w:r>
          </w:p>
        </w:tc>
      </w:tr>
      <w:tr>
        <w:trPr>
          <w:trHeight w:val="216"/>
        </w:trPr>
        <w:tc>
          <w:tcPr>
            <w:tcW w:w="7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(liabilities) acquired: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2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19,996</w:t>
            </w:r>
          </w:p>
        </w:tc>
      </w:tr>
    </w:tbl>
    <w:p>
      <w:pPr>
        <w:spacing w:after="0" w:line="17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Revenue and net loss related to Uman’s operations was $0.2 million and $0.1 million, respectively, for the three months ended September 30, 2020. Revenue and net income related to Uman's operations was $1.4 million and $0.4 million, respectively, for the nine months ended September 30, 2020. Uman's results are included in the Company's consolidated statements of operations.</w:t>
      </w:r>
    </w:p>
    <w:p>
      <w:pPr>
        <w:spacing w:after="0" w:line="180"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Revenue and net income related to Uman’s operations was $0.4 million and $0.1 million, respectively, for the three months following the July 1, 2019 acquisition date, and is included in the Company’s consolidated statements of operations for the three and nine months ended September 30, 2019.</w:t>
      </w:r>
    </w:p>
    <w:p>
      <w:pPr>
        <w:spacing w:after="0" w:line="1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condensed consolidated results of operations of the Company and Uman for the nine months ended September 30, 2019 as if the acquisition of Uman had been completed on January 1, 2018. These pro forma condensed consolidated financial results have been prepared for comparative purposes only and include certain adjustments that reflect pro forma results of operations, such as increased amortization for the fair value of acquired intangible assets, increased cost of sales related to the inventory valuation adjustment, and adjustments relating to the tax effect of combining the Company and Uman businesses.</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results do not reflect any operating efficiencies or potential cost savings which may result from the consolidation of the operations of the Company and Uman. Accordingly, these unaudited pro forma results are presented for informational purposes only and are not necessarily indicative of the results of operations that actually would have been achieved had the acquisition occurred as of January 1, 2018, nor are they intended to represent or be indicative of future results of operations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20" w:type="dxa"/>
            <w:vAlign w:val="bottom"/>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53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(unaudited)</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41,593</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loss (unaudited)</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(27,841)</w:t>
            </w:r>
          </w:p>
        </w:tc>
      </w:tr>
    </w:tbl>
    <w:p>
      <w:pPr>
        <w:spacing w:after="0" w:line="17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no costs associated with the acquisition of Uman for the three and nine months ended September 30, 2020. During the three and nine months ended September 30, 2019, the Company incurred $1.0 million and $1.9 million, respectively, in costs associated with the acquisition of Uman. Costs associated with the acquisition Uman are recorded as selling, general, and administrative expenses within the consolidated statements of operations.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Goodwill and acquired intangible assets</w:t>
      </w:r>
    </w:p>
    <w:p>
      <w:pPr>
        <w:spacing w:after="0" w:line="20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carrying amount of goodwill was $9.7 million. The following is a rollforward of the Company’s goodwill balance (in thousands):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r>
      <w:tr>
        <w:trPr>
          <w:trHeight w:val="216"/>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Acquired intangible assets as of September 30, 2020 consist of the following (in thousands):</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40" w:type="dxa"/>
            <w:vAlign w:val="bottom"/>
          </w:tcPr>
          <w:p>
            <w:pPr>
              <w:spacing w:after="0"/>
              <w:rPr>
                <w:sz w:val="10"/>
                <w:szCs w:val="10"/>
                <w:color w:val="auto"/>
              </w:rPr>
            </w:pPr>
          </w:p>
        </w:tc>
        <w:tc>
          <w:tcPr>
            <w:tcW w:w="7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7"/>
        </w:trPr>
        <w:tc>
          <w:tcPr>
            <w:tcW w:w="282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Life </w:t>
            </w:r>
            <w:r>
              <w:rPr>
                <w:rFonts w:ascii="Arial" w:cs="Arial" w:eastAsia="Arial" w:hAnsi="Arial"/>
                <w:sz w:val="14"/>
                <w:szCs w:val="14"/>
                <w:b w:val="1"/>
                <w:bCs w:val="1"/>
                <w:color w:val="auto"/>
              </w:rPr>
              <w:t>R</w:t>
            </w:r>
            <w:r>
              <w:rPr>
                <w:rFonts w:ascii="Times New Roman" w:cs="Times New Roman" w:eastAsia="Times New Roman" w:hAnsi="Times New Roman"/>
                <w:sz w:val="14"/>
                <w:szCs w:val="14"/>
                <w:b w:val="1"/>
                <w:bCs w:val="1"/>
                <w:color w:val="auto"/>
              </w:rPr>
              <w:t>emaining</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$ 11,491</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8.5 - 10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$ 13,242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Acquired intangible assets as of December 31, 2019 consist of the following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9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40" w:type="dxa"/>
            <w:vAlign w:val="bottom"/>
          </w:tcPr>
          <w:p>
            <w:pPr>
              <w:spacing w:after="0"/>
              <w:rPr>
                <w:sz w:val="10"/>
                <w:szCs w:val="10"/>
                <w:color w:val="auto"/>
              </w:rPr>
            </w:pPr>
          </w:p>
        </w:tc>
        <w:tc>
          <w:tcPr>
            <w:tcW w:w="6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4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7"/>
        </w:trPr>
        <w:tc>
          <w:tcPr>
            <w:tcW w:w="274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Life </w:t>
            </w:r>
            <w:r>
              <w:rPr>
                <w:rFonts w:ascii="Arial" w:cs="Arial" w:eastAsia="Arial" w:hAnsi="Arial"/>
                <w:sz w:val="14"/>
                <w:szCs w:val="14"/>
                <w:b w:val="1"/>
                <w:bCs w:val="1"/>
                <w:color w:val="auto"/>
              </w:rPr>
              <w:t>R</w:t>
            </w:r>
            <w:r>
              <w:rPr>
                <w:rFonts w:ascii="Times New Roman" w:cs="Times New Roman" w:eastAsia="Times New Roman" w:hAnsi="Times New Roman"/>
                <w:sz w:val="14"/>
                <w:szCs w:val="14"/>
                <w:b w:val="1"/>
                <w:bCs w:val="1"/>
                <w:color w:val="auto"/>
              </w:rPr>
              <w:t>emaining</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8.5 - 10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$ 16,400</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acquired $13.5 million of intangible assets in the Uman acquisition, of which $13.0 million was assigned to know-how, $0.4 million was assigned to non-compete agreements, and $0.1 million was assigned to customer relationships. The know-how and customer relationships intangible assets are being amortized on a straight-line basis over an 8.5 year amortization period, and the non-compete agreement intangible asset is being amortized on a straight-line basis over a 5.5 year amortization period. In total, the weighted-average amortization period for these intangible assets is 8.4 years.</w:t>
      </w:r>
    </w:p>
    <w:p>
      <w:pPr>
        <w:spacing w:after="0" w:line="14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recorded amortization expense of $0.5 million and $1.6 million for the three and nine months ended September 30, 2020, respectively, and $0.5 million and $0.8 million for the three and nine months ended September 30, 2019, respectively. Amortization relating to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product revenue.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Future estimated amortization expense of acquired intangible assets as of September 30, 2020 is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Amortization Expense</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2020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09"/>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Underwritten public offerings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On August 6, 2020, the Company entered into an underwriting agreement with SVB Leerink LLC and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On August 8, 2019, the Company entered into an underwriting agreement with J.P. Morgan Securities LLC and SVB Leerink LLC,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the License Agreement for certain intellectual property with Tufts (see Note 11). Tufts is a related party to the Company due to Tufts’ equity ownership in the Company and because a member of the Company’s Board of Directors was affiliated with Tufts. During the three and nine months ended September 30, 2020 and the three and nine months ended September 30, 2019, the Company recorded royalty expense of $0.3 million, $0.8 million, $0.3 million and $0.7 million, respectively, in cost of product revenue on the consolidated statements of operations.</w:t>
      </w:r>
    </w:p>
    <w:p>
      <w:pPr>
        <w:spacing w:after="0" w:line="183"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2017, Harvard University became a related party because a member of the Company’s Board of Directors is affiliated with Harvard University. Revenue recorded from sales to Harvard University was less than $0.1 and $0.1 million for the three and nine months ended September 30, 2020, respectively. Revenue recorded from sales to Harvard University was $0.3 million and $0.4 million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 (loss)</w:t>
      </w:r>
    </w:p>
    <w:p>
      <w:pPr>
        <w:spacing w:after="0" w:line="202"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following shows the changes in the components of accumulated other comprehensive income (loss) for the nine months ended September 30, 2020 which consisted of only foreign currency translation adjustments for the periods shown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216"/>
        </w:trPr>
        <w:tc>
          <w:tcPr>
            <w:tcW w:w="614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20" w:type="dxa"/>
            <w:vAlign w:val="bottom"/>
          </w:tcPr>
          <w:p>
            <w:pPr>
              <w:spacing w:after="0"/>
              <w:rPr>
                <w:sz w:val="18"/>
                <w:szCs w:val="18"/>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16"/>
        </w:trPr>
        <w:tc>
          <w:tcPr>
            <w:tcW w:w="614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8"/>
                <w:szCs w:val="18"/>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199"/>
        </w:trPr>
        <w:tc>
          <w:tcPr>
            <w:tcW w:w="6140" w:type="dxa"/>
            <w:vAlign w:val="bottom"/>
          </w:tcPr>
          <w:p>
            <w:pPr>
              <w:spacing w:after="0"/>
              <w:rPr>
                <w:sz w:val="17"/>
                <w:szCs w:val="17"/>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7"/>
                <w:szCs w:val="17"/>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210"/>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2019</w:t>
            </w: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accumulated other comprehensive income</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0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2020</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8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Company had no significant subsequent events for the period September 30, 2020 through the filing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2019,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2019, as may be updated by “Part II, Item 1A, Risk Factors” of our subsequently filed Quarterly Reports on Form 10-Q.</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9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China, Czech Republic, India, Israel, Japan, Lebanon, Mexico, Qatar, Saudi Arabia, Singapore, South Korea and Taiwan.</w:t>
      </w:r>
    </w:p>
    <w:p>
      <w:pPr>
        <w:spacing w:after="0" w:line="183"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the third quarter of 2019, ahead of our original fourth quarter expectation. As the installed base of the Simoa instruments increases, total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On January 30, 2018, we acquired Aushon Biosystems, Inc.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On August 1, 2019, we completed our acquisition of UmanDiagnostics AB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29, 2020, we entered into a Non-exclusive License Agreement (the Abbott License Agreement) with Abbott Laboratories (Abbott). Pursuant to the terms of the Abbott License Agreement, we granted Abbott a non-exclusive, worldwide, royalty-bearing license, without the right to sublicense, under our bead-based single molecule detection patents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Abbott has agreed to pay us an initial license fee of $10.0 million in connection with the execution of the Abbott License Agreement, which was recognized as collaboration and license revenue for the three months ended September 30, 2020. In addition, during the three months ended September 30, 2020, we recognized as collaboration and license revenue approximately $1.2 million of previously deferred revenue upon entering into the Abbott License Agreement. Abbott has also agreed to pay us milestone fees subject to the achievement by Abbott of certain development, regulatory and commercialization milestones and low single digit royalties on net sales of licensed products.</w:t>
      </w:r>
    </w:p>
    <w:p>
      <w:pPr>
        <w:spacing w:after="0" w:line="19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ongoing uncertainty concerning the SARS-COV-2 pandemic, including its length and severity and its effect on our business. During the first and second quarters, we implemented a resiliency plan focused on the health and safety of our employees and maintaining continuity of our operations. We have seen an impact on instrument revenue due to limitations on our ability to access certain customer sites and complete instrument installations, as well as an impact on consumables revenue from interruptions in certain customer laboratories. We expect these COVID-19 related challenges to continue until these customers return to normal operations.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view of the pandemic, we have adjusted our operations to expand capacity in our Accelerator Laboratory to support customers whose operations have been disrupted and to sustain clinical trials. We also believe that our cytokine assay technology provides researchers with important and differentiated tools to study disease progression, cytokine release syndrome, and patient-treatment response in the fight against COVID-19. We are working towards developing a SARS-COV-2 quantitative IgG assay, an antigen early detection assay in blood, and a high-definition SARS-COV-2 assay to enable research pursuits. We believe that these activities may provide additional business and revenue opportunities as the situation unfolds. On September 29, 2020, we entered into a workplan 2 (WP2) contract with the National Institute of Health (NIH) under the Rapid Acceleration of Diagnostics (RADx) program. The contract, which has a total award value of $18.2 million, will accelerate the continued development, scale-up and deployment of our novel SARS-CoV-2 antigen test. Initial early feasibility of this test was funded in part through the RADx workplan 1 (WP1) award we were granted in June 2020. We recognized $1.9 million of grant revenue from the WP1 award during the three and nine months ended September 30, 2020. The WP2 contract supports clinical validation of the test in support of planned emergency use authorization (EUA) submissions with the U.S. Food and Drug Administration. The WP2 contract provides funding to expand assay kit manufacturing capacity and commercial deployment readiness. Contract funding is subject to achievement of pre-defined milestones and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contract period runs through September 2021. Our intention is to make the test available on our high-throughput automated HD-X instrument platform through a network of centralized third-party labs.</w:t>
      </w:r>
    </w:p>
    <w:p>
      <w:pPr>
        <w:spacing w:after="0" w:line="16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COVID-19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our Annual Report on Form 10-K for the year ended December 31, 2019, as may be updated by “Part II, Item 1A, Risk Factors” of our subsequently filed Quarterly Reports on Form 10-Q. We will continue to evaluate the nature and extent of the impact to our business, financial condition, and operating results.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2020, we had cash and cash equivalents of $173.2 million. Other than the third quarter of 2020, since inception, we have incurred net losses. Our net loss was $40.8 million, $31.5 million, and $27.0 million for the years ended December 31, 2019, 2018 and 2017, respectively, and $21.7 million and $29.8 million for the nine months ended September 30, 2020 and 2019, respectively. As of September 30, 2020, we had an accumulated deficit of $238.0 million and stockholders' equity of $209.0 million. We expect to continue to incur significant expenses and operating losses at least through the next 24 months. We expect our expenses will increase substantially as we:</w:t>
      </w:r>
    </w:p>
    <w:p>
      <w:pPr>
        <w:spacing w:after="0" w:line="228" w:lineRule="exact"/>
        <w:rPr>
          <w:sz w:val="20"/>
          <w:szCs w:val="20"/>
          <w:color w:val="auto"/>
        </w:rPr>
      </w:pPr>
    </w:p>
    <w:p>
      <w:pPr>
        <w:ind w:left="1380" w:hanging="655"/>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27"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companies or technologies that may be complementary to our business;</w:t>
      </w:r>
    </w:p>
    <w:p>
      <w:pPr>
        <w:spacing w:after="0" w:line="9" w:lineRule="exact"/>
        <w:rPr>
          <w:rFonts w:ascii="Times New Roman" w:cs="Times New Roman" w:eastAsia="Times New Roman" w:hAnsi="Times New Roman"/>
          <w:sz w:val="18"/>
          <w:szCs w:val="18"/>
          <w:color w:val="auto"/>
        </w:rPr>
      </w:pPr>
    </w:p>
    <w:p>
      <w:pPr>
        <w:ind w:left="1380" w:right="99" w:hanging="655"/>
        <w:spacing w:after="0" w:line="265"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jc w:val="both"/>
        <w:ind w:left="1380" w:right="279" w:hanging="655"/>
        <w:spacing w:after="0" w:line="250"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premarket approval, or PMA, or 510(k) clearance, or emergency use authorization, or EUA, from the FDA for our existing products or new products if or when we decide to market products for use in the prevention, diagnosis or treatment of a disease or other condition;</w:t>
      </w:r>
    </w:p>
    <w:p>
      <w:pPr>
        <w:spacing w:after="0" w:line="1"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 continue to grow our employee headcount;</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if any, or in-license other products and technologies;</w:t>
      </w:r>
    </w:p>
    <w:p>
      <w:pPr>
        <w:spacing w:after="0" w:line="9" w:lineRule="exact"/>
        <w:rPr>
          <w:rFonts w:ascii="Times New Roman" w:cs="Times New Roman" w:eastAsia="Times New Roman" w:hAnsi="Times New Roman"/>
          <w:sz w:val="18"/>
          <w:szCs w:val="18"/>
          <w:color w:val="auto"/>
        </w:rPr>
      </w:pPr>
    </w:p>
    <w:p>
      <w:pPr>
        <w:ind w:left="1380" w:right="179" w:hanging="655"/>
        <w:spacing w:after="0" w:line="250"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assay kit manufacturing capacity and commercial development readiness in connection with the RADx WP2 contract;</w:t>
      </w:r>
    </w:p>
    <w:p>
      <w:pPr>
        <w:ind w:left="1380" w:hanging="655"/>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September 30, 2019 (dollars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6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26"/>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collaboration and license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8"/>
        </w:trPr>
        <w:tc>
          <w:tcPr>
            <w:tcW w:w="28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costs of goods sold, services,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and licenses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 xml:space="preserve">2 % </w:t>
            </w:r>
            <w:r>
              <w:rPr>
                <w:rFonts w:ascii="Times New Roman" w:cs="Times New Roman" w:eastAsia="Times New Roman" w:hAnsi="Times New Roman"/>
                <w:sz w:val="25"/>
                <w:szCs w:val="25"/>
                <w:color w:val="auto"/>
                <w:vertAlign w:val="subscript"/>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$ 12,073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Total revenue increased by $16.4 million, or 110%, to $31.4 million for the three months ended September 30, 2020 as compared to $14.9 million for the three months ended September 30, 2019. Product revenue consisted of sales of instruments totaling $4.5 million and sales of consumables and other products of $7.2 million for the three months ended September 30, 2020. Product revenue consisted of sales of instruments totaling $4.1 million and sales of consumables and other products totaling $6.6 million for the three months ended September 30, 2019. The increase in product revenue of $0.9 million was primarily due to increased consumables sales in the three months ended September 30, 2020. The installed base of instruments increased from September 30, 2019 to September 30, 2020, and as these additional instruments were used by customers, the consumable sales increased as customers opened from their COVID-19 related shutdowns. The increase to service and other revenue of $2.3 million was due to increased services performed in our Accelerator Laboratory. We had $11.2 million in collaboration and license revenue during the three months ended September 30, 2020 primarily related to entering into the Abbott License Agreement. We did not have any collaboration and license revenue during the three months ended September 30, 2019. Grant revenue of $1.9 million consisted of revenue related to the RADx WP1 award recognized during the three months ended September 30, 2020. We did not have any grant revenue during the three months ended September 30, 2019.</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Services and Licenses</w:t>
      </w:r>
    </w:p>
    <w:p>
      <w:pPr>
        <w:spacing w:after="0" w:line="229" w:lineRule="exact"/>
        <w:rPr>
          <w:sz w:val="20"/>
          <w:szCs w:val="20"/>
          <w:color w:val="auto"/>
        </w:rPr>
      </w:pPr>
    </w:p>
    <w:p>
      <w:pPr>
        <w:ind w:left="60" w:right="379" w:firstLine="648"/>
        <w:spacing w:after="0" w:line="281" w:lineRule="auto"/>
        <w:rPr>
          <w:sz w:val="20"/>
          <w:szCs w:val="20"/>
          <w:color w:val="auto"/>
        </w:rPr>
      </w:pPr>
      <w:r>
        <w:rPr>
          <w:rFonts w:ascii="Times New Roman" w:cs="Times New Roman" w:eastAsia="Times New Roman" w:hAnsi="Times New Roman"/>
          <w:sz w:val="17"/>
          <w:szCs w:val="17"/>
          <w:color w:val="auto"/>
        </w:rPr>
        <w:t>Cost of product revenue increased by $0.9 million, or 16%, to $6.4 million for the three months ended September 30, 2020 as compared to $5.5 million for the three months ended September 30, 2019. The increase was primarily due to our increase in product revenue. Cost of service revenue increased to $2.9 million for the three months ended September 30, 2020 from $2.4 million for the three months ended September 30, 2019. The increase was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primarily due to higher utilization of the Accelerator Laboratory, plus increased personnel costs from the build out of our field service organization. Cost of collaboration and license revenue of $1.0 million resulted from the sublicensing of certain technology and intellectual property to Abbott during the three months ended September 30, 2020. We had no cost of collaboration and license revenue during the three months ended September 30, 2019. Overall cost of goods sold as a percentage of revenue decreased to 33% of total revenue for the three months ended September 30, 2020 as compared to 53% for the three months ended September 30, 2019, primarily as a result of the significant increase in collaboration and license revenue.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$1.5 million, or 37%, to $5.4 million for the three months ended September 30, 2020 as compared to $3.9 million for the three months ended September 30, 2019. The increase was primarily due to compensation, development, materials, and other expenses related to work under the RADx WP1 award incurred during the three months ended September 30,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639"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$0.1 million for the three months ended September 30, 2020 as compared to the same period in 2019. The slight increase primarily resulted from headcount additions in various departments as we build out our organization to support future growth, and stock compensation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 Net</w:t>
      </w:r>
    </w:p>
    <w:p>
      <w:pPr>
        <w:spacing w:after="0" w:line="229"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Interest income (expense) and other expense, net decreased by $0.4 million for the three months ended September 30, 2020 as compared to same period in 2019, primarily due to decreased interest income earned on cash equivalents, as COVID-19 unfavorably impacted interest rates on our cash equivalents during the three months ended September 30,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left="60" w:right="739" w:firstLine="648"/>
        <w:spacing w:after="0" w:line="312" w:lineRule="auto"/>
        <w:rPr>
          <w:sz w:val="20"/>
          <w:szCs w:val="20"/>
          <w:color w:val="auto"/>
        </w:rPr>
      </w:pPr>
      <w:r>
        <w:rPr>
          <w:rFonts w:ascii="Times New Roman" w:cs="Times New Roman" w:eastAsia="Times New Roman" w:hAnsi="Times New Roman"/>
          <w:sz w:val="17"/>
          <w:szCs w:val="17"/>
          <w:color w:val="auto"/>
        </w:rPr>
        <w:t>Income tax benefit decreased by less than $0.1 million for the three months ended September 30, 2020 as compared to the same period in 2019. The change is primarily due to certain state and international taxes in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September 30, 2019 (dollars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5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2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60,246</w:t>
            </w:r>
          </w:p>
        </w:tc>
        <w:tc>
          <w:tcPr>
            <w:tcW w:w="14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40,816</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collaboration and license 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costs of goods sold, services, and</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27,114</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38,293</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4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50,085</w:t>
            </w:r>
          </w:p>
        </w:tc>
        <w:tc>
          <w:tcPr>
            <w:tcW w:w="16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6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1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 xml:space="preserve">1 % </w:t>
            </w:r>
            <w:r>
              <w:rPr>
                <w:rFonts w:ascii="Times New Roman" w:cs="Times New Roman" w:eastAsia="Times New Roman" w:hAnsi="Times New Roman"/>
                <w:sz w:val="25"/>
                <w:szCs w:val="25"/>
                <w:color w:val="auto"/>
                <w:vertAlign w:val="subscript"/>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Revenue increased by $19.4 million, or 48%, to $60.2 million for the nine months ended September 30, 2020 as compared to $40.8 million for the nine months ended September 30, 2019. Product revenue consisted of sales of instruments totaling $10.9 million and sales of consumables and other products of $17.3 million for the nine months ended September 30, 2020. Product revenue consisted of sales of instruments totaling $10.3 million and sales of consumables and other products totaling $18.8 million for the nine months ended September 30, 2019. The decrease in product revenue of $0.8 million was primarily due to a decrease in consumables orders from interruptions in certain customers’ laboratories in the second quarter of 2020 due to COVID-19, partially offset by increases in consumables orders in the third quarter of 2020. The increase in service and other revenue of $6.9 million was due to increased services performed in our Accelerator Laboratory. We had $11.4 million in collaboration and license revenue in the nine months ended September 30, 2020 related to entering into the Abbott License Agreement, and from existing contracts related to licensing technology and intellectual property. We did not have any collaboration and license revenue during the nine months ended September 30, 2019. Grant revenue of $1.9 million consisted of revenue related to the RADx WP1 award recognized during the nine months ended September 30, 2020. We did not have any grant revenue during the nine months ended September 30,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Services, and Licenses</w:t>
      </w:r>
    </w:p>
    <w:p>
      <w:pPr>
        <w:spacing w:after="0" w:line="229" w:lineRule="exact"/>
        <w:rPr>
          <w:sz w:val="20"/>
          <w:szCs w:val="20"/>
          <w:color w:val="auto"/>
        </w:rPr>
      </w:pPr>
    </w:p>
    <w:p>
      <w:pPr>
        <w:ind w:left="60" w:right="579" w:firstLine="648"/>
        <w:spacing w:after="0" w:line="289" w:lineRule="auto"/>
        <w:rPr>
          <w:sz w:val="20"/>
          <w:szCs w:val="20"/>
          <w:color w:val="auto"/>
        </w:rPr>
      </w:pPr>
      <w:r>
        <w:rPr>
          <w:rFonts w:ascii="Times New Roman" w:cs="Times New Roman" w:eastAsia="Times New Roman" w:hAnsi="Times New Roman"/>
          <w:sz w:val="17"/>
          <w:szCs w:val="17"/>
          <w:color w:val="auto"/>
        </w:rPr>
        <w:t>Cost of product revenue increased by $3.8 million, or 27%, to $18.0 million for the nine months ended September 30, 2020 as compared to $14.2 million for the nine months ended September 30, 2019. The increase was primarily due to a higher proportion of instrument sales coupled with a lower proportion of consumables sales in our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product mix, as well as nine months of costs incurred from the amortization of the Uman acquisition-related inventory valuation adjustment and acquired intangibles during the nine months ended September 30, 2020, as compared to only three months of these costs during the nine months ended September 30, 2019. Cost of service revenue increased to $8.1 million for the nine months ended September 30, 2020 from $6.6 million for the nine months ended September 30, 2019. The increase was primarily due to higher utilization of the Accelerator Laboratory, plus increased personnel costs from the build out of our field service organization. Cost of collaboration and license revenue of $1.0 million resulted from the licensing of certain technology and intellectual property to Abbott during the nine months ended September 30, 2020. We had no cost of collaboration and license revenue during the nine months ended September 30, 2019. Overall cost of goods sold as a percentage of revenue decreased to 45% of total revenue for the nine months ended September 30, 2020 as compared to 51% for the nine months ended September 30, 2019, primarily as a result of the significant increase in collaboration and license revenue.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$2.2 million, or 18%, to $14.0 million for the nine months ended September 30, 2020 as compared to $11.8 million for the nine months ended September 30, 2019. The increase was primarily due to compensation, development, materials, and other expenses related to work under the RADx WP1 award incurred during the nine months ended September 30,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$2.5 million, or 7%, to $40.8 million for the nine months ended September 30, 2020 as compared to $38.3 million for the nine months ended September 30, 2019. The increase was primarily due to headcount additions in various departments as we build out our organization to support future growth, the lease for the new headquarters, and stock compensation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 Net</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 income (expense) and other expense, net decreased by $0.5 million for the nine months ended September 30, 2020 as compared to the same period in 2019, primarily due to the unfavorable impact of COVID-19 on the interest rates of our cash equivalents during the nine months ended September 30, 2020.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Income tax benefit was $0.3 million for the nine months ended September 30, 2020 as compared to $0.1 million for the same period in 2019. The change is primarily due to certain state and international taxes in 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279" w:firstLine="693"/>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equity offerings, borrowings from credit facilities and revenue from our commercial operations.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5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December 2017, we completed our initial public offering (IPO) in which we sold 4,916,480 shares of common stock at a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22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On March 19, 2019, we entered into a Sales Agreement for an “at the market offering” arrangement with Cowen and Company, LLC (Cowen), which allows us to issue and sell shares of common stock pursuant to a shelf registration statement for total gross sales proceeds of up to $50.0 million from time to time through Cowen, acting as our agent. During the 2019 fiscal year, we sold an aggregate of 2,186,163 shares of common stock pursuant to this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agreement resulting in $49.7 million in gross proceeds and $48.0 million in net proceeds. On August 6, 2020, we delivered written notice to Cowen to terminate the Sales Agreement, which termination the parties agreed to make immediately effective.</w:t>
      </w:r>
    </w:p>
    <w:p>
      <w:pPr>
        <w:spacing w:after="0" w:line="17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August 8, 2019, we entered into an underwriting agreement with J.P. Morgan Securities LLC and SVB Leerink LLC, as representatives of the several underwriters, relating to an underwritten public offering of 2,732,673 shares of common stock at a public offering price of $25.25 per share. We received $69.0 million in gross proceeds and $64.5 million in net proceeds.</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August 6, 2020, we entered into an underwriting agreement with SVB Leerink LLC and Cowen, as representatives of the several underwriters, relating to an underwritten public offering of approximately 3.0 million shares of common stock, par value $0.001 per share. The underwritten public offering resulted in gross proceeds of $97.6 million. We incurred $6.2 million in issuance costs associated with the underwritten public offering, resulting in net proceeds of $91.4 million.</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 Facility with Hercules</w:t>
      </w:r>
    </w:p>
    <w:p>
      <w:pPr>
        <w:spacing w:after="0" w:line="268"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On April 14, 2014, we executed a loan agreement with Hercules Capital, Inc. (Hercules).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w:t>
      </w:r>
    </w:p>
    <w:p>
      <w:pPr>
        <w:spacing w:after="0" w:line="3"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217"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22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January 2016, we executed Amendment 2 to the loan agreement, which increased the total facility available by $5.0 million to a total of $15.0 million and further delayed the start of principal payments to July 1, 2016. Following the Series D Preferred Stock financing in March 2016, we could have elected to further delay the start of principal 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March 2017, we signed Amendment 3 to the loan agreement increasing the total facility available by</w:t>
      </w:r>
    </w:p>
    <w:p>
      <w:pPr>
        <w:spacing w:after="0" w:line="27"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In July 2017, we signed Amendment 4 to the loan agreement, which capped the "Term Loan Interest Rate" with respect to the 2017 Term Loan Advance only at 10%. Amendment 4 to the loan agreement did not change or affect any other element of the loan agreement or the Term Loan Advance.</w:t>
      </w:r>
    </w:p>
    <w:p>
      <w:pPr>
        <w:spacing w:after="0" w:line="21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2018, we signed Amendment 5 to the loan agreement, which extends the interest only payment period through March 1, 2020 and also extends the loan maturity date to March 1, 2020. We accounted for the August 2018 amendment as a modification pursuant to </w:t>
      </w:r>
      <w:r>
        <w:rPr>
          <w:rFonts w:ascii="Times New Roman" w:cs="Times New Roman" w:eastAsia="Times New Roman" w:hAnsi="Times New Roman"/>
          <w:sz w:val="18"/>
          <w:szCs w:val="18"/>
          <w:color w:val="263238"/>
        </w:rPr>
        <w:t>Accounting Standards Codification (ASC) 470,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63238"/>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3238"/>
        </w:rPr>
        <w:t>(ASC 470)</w:t>
      </w:r>
      <w:r>
        <w:rPr>
          <w:rFonts w:ascii="Times New Roman" w:cs="Times New Roman" w:eastAsia="Times New Roman" w:hAnsi="Times New Roman"/>
          <w:sz w:val="18"/>
          <w:szCs w:val="18"/>
          <w:color w:val="auto"/>
        </w:rPr>
        <w:t xml:space="preserve"> and determined that no material change occurred as a result of the modification. In addition, the amendment deferred the payment of principal until the maturity date. $0.1 million of end of term payments were paid in March 2020.</w:t>
      </w:r>
    </w:p>
    <w:p>
      <w:pPr>
        <w:spacing w:after="0" w:line="224"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October 2018, we signed Amendment 6 to the loan agreement, which amends the loan agreement's collateral clause to exclude the $1 million certificate of deposit associated with the lease on our new headquarters in Billerica, Massachusetts. The loan agreement and amendments contain end of term payments and are recorded in the debt accounts. $0.5 million of end of term payments were paid in the year ended December 31, 2018.</w:t>
      </w:r>
    </w:p>
    <w:p>
      <w:pPr>
        <w:spacing w:after="0" w:line="207"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On April 15, 2019, we signed Amendment 7 to the loan agreement, which extends the interest only payment period through July 1, 2021 and also extends the loan maturity date to October 1, 2021. We are required to pay the loan principal in five equal installments starting July 1, 2021 with the final principal payment to be made on October 1, 2021.</w:t>
      </w:r>
    </w:p>
    <w:p>
      <w:pPr>
        <w:spacing w:after="0" w:line="198"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On July 2, 2019, 66,041 warrants were exercised by Hercules on a net, non-cash, basis. Per the terms of the warrant agreement, we issued 45,690 shares of common stock with a value equal to Hercules’ gain.</w:t>
      </w:r>
    </w:p>
    <w:p>
      <w:pPr>
        <w:spacing w:after="0" w:line="20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Debt principal repayments, including the end of term fees, due as of September 30, 2020 are (in thousands):</w:t>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12" w:lineRule="exact"/>
        <w:rPr>
          <w:sz w:val="20"/>
          <w:szCs w:val="20"/>
          <w:color w:val="auto"/>
        </w:rPr>
      </w:pPr>
    </w:p>
    <w:tbl>
      <w:tblPr>
        <w:tblLayout w:type="fixed"/>
        <w:tblInd w:w="9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2020</w:t>
            </w:r>
          </w:p>
        </w:tc>
        <w:tc>
          <w:tcPr>
            <w:tcW w:w="278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Uman Acquisition</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 August 2019, we completed the acquisition of Uman, in which we paid $15.7 million in cash to the shareholders of Uman. We funded this payment through our existing cash balances. In addition, we issued $5.5 million in stock in connection with the purchase of Uman. The acquisition closed with respect to 95% of the outstanding shares of capital stock of Uman on July 1, 2019 and with respect to the remaining 5% of the outstanding shares of capital stock of Uman on August 1, 2019.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cash flows for each period presented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180" w:type="dxa"/>
            <w:vAlign w:val="bottom"/>
            <w:gridSpan w:val="7"/>
          </w:tcPr>
          <w:p>
            <w:pPr>
              <w:ind w:left="10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115,473</w:t>
            </w: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$28.0 million during the nine months ended September 30, 2020. The net cash used in operating activities primarily consisted of the net loss of $21.7 million offset by non-cash charges of $7.0 million of stock-based compensation expense and $3.2 million of depreciation and amortization expense. Cash used as a result of changes in operating assets and liabilities of $17.5 million was primarily due to an increase in accounts receivable of $15.4 million, and an increase in inventory of $3.5 million.</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$21.7 million during the nine months ended September 30, 2019. The net cash used in operating activities primarily consisted of the net loss of $29.8 million offset by non-cash charges of $4.7 million of stock-based compensation expense and $2.2 million of depreciation and amortization expense. Cash used as a result of changes in operating assets and liabilities of $1.2 million was primarily due to a $10.1 million increase in other non-current liabilities related to our new lease, offset by an increase in accounts receivable of $4.5 million, and an increase in inventory of $3.9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76" w:lineRule="exact"/>
        <w:rPr>
          <w:sz w:val="20"/>
          <w:szCs w:val="20"/>
          <w:color w:val="auto"/>
        </w:rPr>
      </w:pPr>
    </w:p>
    <w:p>
      <w:pPr>
        <w:jc w:val="both"/>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We used $2.1 million of cash in investing activities during the nine months ended September 30, 2020 for the purchase of property and equipment.</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used $24.8 million of cash in investing activities during the nine months ended September 30, 2019. The significant increase was related to the cash portion of the Uman acquisition, as well as the leasehold improvements for our new headquarters, which is a component of our lease agreement for the nine months ended September 30,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7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$94.2 million of cash during the nine months ended September 30, 2020, primarily from $91.4 million in net proceeds from our underwritten public offering during the third quarter of 2020, and $1.9 million in proceeds from common stock option exercises.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$115.5 million of cash during the nine months ended September 30, 2019, primarily from proceeds of our “at-the-market” offering during the second quarter of 2019 and our underwritten public offering during the third quarter of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7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Other than the third quarter of 2020, since inception, we have incurred net losses, and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2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2019, as may be updated by “Part II, Item 1A, Risk Factors” of our subsequently filed Quarterly Reports on Form 10-Q. We have based our estimates on assumptions that may prove to be wrong and we could utilize our available capital resources sooner than we currently expect. Our future funding requirements will depend on many factors, including:</w:t>
      </w:r>
    </w:p>
    <w:p>
      <w:pPr>
        <w:spacing w:after="0" w:line="219" w:lineRule="exact"/>
        <w:rPr>
          <w:sz w:val="20"/>
          <w:szCs w:val="20"/>
          <w:color w:val="auto"/>
        </w:rPr>
      </w:pPr>
    </w:p>
    <w:p>
      <w:pPr>
        <w:ind w:left="1380" w:hanging="655"/>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including our SP-X and HD-X instruments;</w:t>
      </w:r>
    </w:p>
    <w:p>
      <w:pPr>
        <w:spacing w:after="0" w:line="27"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collaborations in the future, and the success of any such collaborations;</w:t>
      </w:r>
    </w:p>
    <w:p>
      <w:pPr>
        <w:spacing w:after="0" w:line="9" w:lineRule="exact"/>
        <w:rPr>
          <w:rFonts w:ascii="Times New Roman" w:cs="Times New Roman" w:eastAsia="Times New Roman" w:hAnsi="Times New Roman"/>
          <w:sz w:val="18"/>
          <w:szCs w:val="18"/>
          <w:color w:val="auto"/>
        </w:rPr>
      </w:pPr>
    </w:p>
    <w:p>
      <w:pPr>
        <w:ind w:left="1380" w:right="179" w:hanging="655"/>
        <w:spacing w:after="0" w:line="250"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and</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If the conditions for raising capital are favorable, we may seek to finance future cash needs through public or private equity or debt offerings or other financings. However,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there have been no material changes to our contractual obligations and commitments from those described under “Management’s Discussion and Analysis of Financial Condition and Results of Operations” included in our Annual Report on Form 10-K for the year ended December 31, 2019.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Securities and Exchange Commission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Significant Judgments and Estimates</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stock-compensation.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71"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2019. There have been no material changes to our critical accounting policies and estimates as disclosed therein, with the exception of our adoption of recent accounting pronouncements, as discussed below.</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left="60" w:right="4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adopted the Financial Accounting Standards Board (FASB) established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its related amendments. See Notes 2 and 10 to our unaudited financial statements included elsewhere in this Quarterly Report on Form 10-Q for more information.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2020, there have been no material changes to the market risk information described under “Quantitative and Qualitative Disclosures About Market Risk” included in the Annual Report on Form 10-K for the year ended December 31,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ind w:left="60" w:right="99" w:firstLine="638"/>
        <w:spacing w:after="0" w:line="272" w:lineRule="auto"/>
        <w:tabs>
          <w:tab w:leader="none" w:pos="95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Our principal executive officer and principal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after evaluating the effectiveness of our disclosure controls and procedures (as defined in Rules 13a-15(e) and 15d-15(e) of the Securities Exchange Act of 1934, as amended, or the Exchange Act) as of the end of the period covered by this Quarterly Report on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71" w:lineRule="exact"/>
        <w:rPr>
          <w:rFonts w:ascii="Times New Roman" w:cs="Times New Roman" w:eastAsia="Times New Roman" w:hAnsi="Times New Roman"/>
          <w:sz w:val="17"/>
          <w:szCs w:val="17"/>
          <w:color w:val="auto"/>
        </w:rPr>
      </w:pPr>
    </w:p>
    <w:p>
      <w:pPr>
        <w:ind w:left="60" w:right="259" w:firstLine="638"/>
        <w:spacing w:after="0" w:line="261" w:lineRule="auto"/>
        <w:tabs>
          <w:tab w:leader="none" w:pos="9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identified in connection with the evaluation of such internal control that occurred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There have been no material changes to the risk factors described in our Annual Report on Form 10-K for the year ended December 31, 2019, filed with the SEC on March 13, 2020, as updated by “Part II, Item 1A, Risk Factors” of our Quarterly Report on Form 10-Q for the quarter ended March 31, 2020, except for the addition of the following risk factor:</w:t>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WP2 contract with NIH under the RADx program could expose us to unique risks and costs.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NIH launched the RADx program to expedite development, commercialization, and implementation of technologies for COVID-19 testing to help increase testing in the United States. On September 29, 2020, we entered into a WP2 contract with NIH under the RADx program. The contract, which has a total award value of $18.2 million, will accelerate the continued development, scale-up and deployment of our novel SARS-CoV-2 antigen test. Initial early feasibility of this test was funded in part through the RADx WP1 award we were granted in June 2020. The contract provides funding to expand assay kit manufacturing capacity and commercial deployment readiness. Release of the $18.2 million of funding under the WP2 contract will be based on the achievement of certain milestones, and there is no assurance that we can meet all the milestones on a timely basis, if at all. If we do not meet all the milestones, we will not be able access the full $18.2 million in funding under the contract.</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other factors that could materially adversely affect our revenue stemming from the WP2 contract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affecting U.S. government spending generally, or NIH in particular;</w:t>
      </w:r>
    </w:p>
    <w:p>
      <w:pPr>
        <w:spacing w:after="0" w:line="27" w:lineRule="exact"/>
        <w:rPr>
          <w:rFonts w:ascii="Times New Roman" w:cs="Times New Roman" w:eastAsia="Times New Roman" w:hAnsi="Times New Roman"/>
          <w:sz w:val="18"/>
          <w:szCs w:val="18"/>
          <w:color w:val="auto"/>
        </w:rPr>
      </w:pPr>
    </w:p>
    <w:p>
      <w:pPr>
        <w:ind w:left="1040" w:right="49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or NIH fiscal policies or available funding, including due to Congressional appropriations;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or NIH programs, requirements or priorities;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laws or regulations;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threatened shutdowns or budget delays;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consolidation in our industry;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07"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These or other factors could cause NIH to reduce its funding or future activities under the WP2 contract which could have a material adverse effect on the revenue generated by this contract.</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WP2 contract also contains certain provisions from the Federal Acquisition Regulations (FAR), some of which are customary or legally required, that give the U.S. government substantial rights and remedies, many of which are not typically found in commercial contracts. For example, the WP2 contract contains provisions permitting unilateral termination or modification, in whole or in part, at the U.S. government’s convenience. In addition, the WP2 contract contains additional requirements that may increase our costs of doing business, reduce our profits, and expose us to liability for failure to comply with these terms and conditions. These requirements include, mandatory internal control systems and policies, mandatory socioeconomic compliance requirements, environmental compliance requirements and intellectual property provisions. If we fail to maintain compliance with these requirements, we may be subject to potential contract or False Claims Act liability and to termination of the contract.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enter into agreements with third parties, including suppliers, consultants and other third-party contractors in order to satisfy our contractual obligations pursuant to this contract with NIH. Negotiating and entering into such arrangements can be time-consuming and we may not be able to reach agreement with such third parties. Any such agreement must also be compliant with the terms of the WP2 contract. Any delay or inability to enter into such arrangements or entering into such arrangements in a manner that is non-compliant with the terms of our contract, may result in violations of our contract and/or delays in the release of funding.</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 File/</w:t>
            </w:r>
          </w:p>
        </w:tc>
      </w:tr>
      <w:tr>
        <w:trPr>
          <w:trHeight w:val="189"/>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Reference herein from</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Reg.</w:t>
            </w:r>
          </w:p>
        </w:tc>
      </w:tr>
      <w:tr>
        <w:trPr>
          <w:trHeight w:val="195"/>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6"/>
                <w:szCs w:val="16"/>
                <w:color w:val="auto"/>
              </w:rPr>
            </w:pPr>
          </w:p>
        </w:tc>
        <w:tc>
          <w:tcPr>
            <w:tcW w:w="2820" w:type="dxa"/>
            <w:vAlign w:val="bottom"/>
            <w:gridSpan w:val="12"/>
          </w:tcPr>
          <w:p>
            <w:pPr>
              <w:ind w:left="8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8"/>
        </w:trPr>
        <w:tc>
          <w:tcPr>
            <w:tcW w:w="64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spacing w:after="0"/>
              <w:rPr>
                <w:sz w:val="16"/>
                <w:szCs w:val="16"/>
                <w:color w:val="auto"/>
              </w:rPr>
            </w:pPr>
          </w:p>
        </w:tc>
        <w:tc>
          <w:tcPr>
            <w:tcW w:w="2820" w:type="dxa"/>
            <w:vAlign w:val="bottom"/>
            <w:tcBorders>
              <w:top w:val="single" w:sz="8" w:color="auto"/>
            </w:tcBorders>
            <w:gridSpan w:val="12"/>
          </w:tcPr>
          <w:p>
            <w:pPr>
              <w:spacing w:after="0" w:line="188"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Non-Exclusive License Agreement,</w:t>
              </w:r>
            </w:hyperlink>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ind w:right="219"/>
              <w:spacing w:after="0" w:line="188" w:lineRule="exact"/>
              <w:rPr>
                <w:sz w:val="20"/>
                <w:szCs w:val="20"/>
                <w:color w:val="auto"/>
              </w:rPr>
            </w:pPr>
            <w:r>
              <w:rPr>
                <w:rFonts w:ascii="Times New Roman" w:cs="Times New Roman" w:eastAsia="Times New Roman" w:hAnsi="Times New Roman"/>
                <w:sz w:val="18"/>
                <w:szCs w:val="18"/>
                <w:color w:val="auto"/>
                <w:w w:val="98"/>
              </w:rPr>
              <w:t>10/5/20</w:t>
            </w: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6"/>
                <w:szCs w:val="16"/>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dated September 29, 2020, by and</w:t>
              </w:r>
            </w:hyperlink>
          </w:p>
        </w:tc>
        <w:tc>
          <w:tcPr>
            <w:tcW w:w="26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38319</w:t>
            </w:r>
          </w:p>
        </w:tc>
        <w:tc>
          <w:tcPr>
            <w:tcW w:w="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r:id="rId68">
              <w:r>
                <w:rPr>
                  <w:rFonts w:ascii="Times New Roman" w:cs="Times New Roman" w:eastAsia="Times New Roman" w:hAnsi="Times New Roman"/>
                  <w:sz w:val="18"/>
                  <w:szCs w:val="18"/>
                  <w:color w:val="0000EE"/>
                  <w:w w:val="98"/>
                </w:rPr>
                <w:t>between Abbott Laboratories and</w:t>
              </w:r>
            </w:hyperlink>
          </w:p>
        </w:tc>
        <w:tc>
          <w:tcPr>
            <w:tcW w:w="40" w:type="dxa"/>
            <w:vAlign w:val="bottom"/>
            <w:tcBorders>
              <w:top w:val="single" w:sz="8" w:color="0000EE"/>
            </w:tcBorders>
          </w:tcPr>
          <w:p>
            <w:pPr>
              <w:spacing w:after="0"/>
              <w:rPr>
                <w:sz w:val="19"/>
                <w:szCs w:val="19"/>
                <w:color w:val="auto"/>
              </w:rPr>
            </w:pPr>
          </w:p>
        </w:tc>
        <w:tc>
          <w:tcPr>
            <w:tcW w:w="380" w:type="dxa"/>
            <w:vAlign w:val="bottom"/>
            <w:gridSpan w:val="7"/>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20" w:type="dxa"/>
            <w:vAlign w:val="bottom"/>
            <w:gridSpan w:val="12"/>
          </w:tcPr>
          <w:p>
            <w:pPr>
              <w:spacing w:after="0"/>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Quanterix Corporation</w:t>
              </w:r>
            </w:hyperlink>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spacing w:after="0"/>
              <w:rPr>
                <w:sz w:val="24"/>
                <w:szCs w:val="24"/>
                <w:color w:val="auto"/>
              </w:rPr>
            </w:pPr>
          </w:p>
        </w:tc>
        <w:tc>
          <w:tcPr>
            <w:tcW w:w="2820" w:type="dxa"/>
            <w:vAlign w:val="bottom"/>
            <w:gridSpan w:val="12"/>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Third Amendment, dated September</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25, 2020, to the Exclusive License</w:t>
              </w:r>
            </w:hyperlink>
          </w:p>
        </w:tc>
        <w:tc>
          <w:tcPr>
            <w:tcW w:w="140" w:type="dxa"/>
            <w:vAlign w:val="bottom"/>
            <w:tcBorders>
              <w:top w:val="single" w:sz="8" w:color="0000EE"/>
            </w:tcBorders>
            <w:gridSpan w:val="2"/>
          </w:tcPr>
          <w:p>
            <w:pPr>
              <w:spacing w:after="0"/>
              <w:rPr>
                <w:sz w:val="19"/>
                <w:szCs w:val="19"/>
                <w:color w:val="auto"/>
              </w:rPr>
            </w:pPr>
          </w:p>
        </w:tc>
        <w:tc>
          <w:tcPr>
            <w:tcW w:w="200" w:type="dxa"/>
            <w:vAlign w:val="bottom"/>
            <w:gridSpan w:val="4"/>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Agreement between the Registrant and</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Tufts University</w:t>
              </w:r>
            </w:hyperlink>
          </w:p>
        </w:tc>
        <w:tc>
          <w:tcPr>
            <w:tcW w:w="1640" w:type="dxa"/>
            <w:vAlign w:val="bottom"/>
            <w:gridSpan w:val="11"/>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spacing w:after="0"/>
              <w:rPr>
                <w:sz w:val="24"/>
                <w:szCs w:val="24"/>
                <w:color w:val="auto"/>
              </w:rPr>
            </w:pPr>
          </w:p>
        </w:tc>
        <w:tc>
          <w:tcPr>
            <w:tcW w:w="2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Certification of the Principal Executive</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20" w:type="dxa"/>
            <w:vAlign w:val="bottom"/>
            <w:gridSpan w:val="1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Officer pursuant to Section 302 of the</w:t>
              </w:r>
            </w:hyperlink>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72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Sarbanes-Oxley Act of 2002.</w:t>
              </w:r>
            </w:hyperlink>
          </w:p>
        </w:tc>
        <w:tc>
          <w:tcPr>
            <w:tcW w:w="1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00" w:type="dxa"/>
            <w:vAlign w:val="bottom"/>
          </w:tcPr>
          <w:p>
            <w:pPr>
              <w:spacing w:after="0"/>
              <w:rPr>
                <w:sz w:val="24"/>
                <w:szCs w:val="24"/>
                <w:color w:val="auto"/>
              </w:rPr>
            </w:pPr>
          </w:p>
        </w:tc>
        <w:tc>
          <w:tcPr>
            <w:tcW w:w="2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Certification of the Principal Financial</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20" w:type="dxa"/>
            <w:vAlign w:val="bottom"/>
            <w:gridSpan w:val="1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Officer pursuant to Section 302 of the</w:t>
              </w:r>
            </w:hyperlink>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72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Sarbanes-Oxley Act of 2002.</w:t>
              </w:r>
            </w:hyperlink>
          </w:p>
        </w:tc>
        <w:tc>
          <w:tcPr>
            <w:tcW w:w="1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00" w:type="dxa"/>
            <w:vAlign w:val="bottom"/>
          </w:tcPr>
          <w:p>
            <w:pPr>
              <w:spacing w:after="0"/>
              <w:rPr>
                <w:sz w:val="24"/>
                <w:szCs w:val="24"/>
                <w:color w:val="auto"/>
              </w:rPr>
            </w:pPr>
          </w:p>
        </w:tc>
        <w:tc>
          <w:tcPr>
            <w:tcW w:w="2820" w:type="dxa"/>
            <w:vAlign w:val="bottom"/>
            <w:gridSpan w:val="12"/>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Certifications of the Principal</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Executive Officer and Principal</w:t>
              </w:r>
            </w:hyperlink>
          </w:p>
        </w:tc>
        <w:tc>
          <w:tcPr>
            <w:tcW w:w="540" w:type="dxa"/>
            <w:vAlign w:val="bottom"/>
            <w:gridSpan w:val="9"/>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Financial Officer pursuant to</w:t>
              </w:r>
            </w:hyperlink>
          </w:p>
        </w:tc>
        <w:tc>
          <w:tcPr>
            <w:tcW w:w="700" w:type="dxa"/>
            <w:vAlign w:val="bottom"/>
            <w:gridSpan w:val="10"/>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20" w:type="dxa"/>
            <w:vAlign w:val="bottom"/>
            <w:gridSpan w:val="12"/>
          </w:tcPr>
          <w:p>
            <w:pPr>
              <w:spacing w:after="0"/>
              <w:rPr>
                <w:rFonts w:ascii="Times New Roman" w:cs="Times New Roman" w:eastAsia="Times New Roman" w:hAnsi="Times New Roman"/>
                <w:sz w:val="18"/>
                <w:szCs w:val="18"/>
                <w:u w:val="single" w:color="auto"/>
                <w:color w:val="0000EE"/>
                <w:w w:val="99"/>
              </w:rPr>
            </w:pPr>
            <w:hyperlink w:anchor="page54">
              <w:r>
                <w:rPr>
                  <w:rFonts w:ascii="Times New Roman" w:cs="Times New Roman" w:eastAsia="Times New Roman" w:hAnsi="Times New Roman"/>
                  <w:sz w:val="18"/>
                  <w:szCs w:val="18"/>
                  <w:u w:val="single" w:color="auto"/>
                  <w:color w:val="0000EE"/>
                  <w:w w:val="99"/>
                </w:rPr>
                <w:t>Section 906 of the Sarbanes-Oxley Act</w:t>
              </w:r>
            </w:hyperlink>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of 2002.</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w:t>
            </w: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.SCH</w:t>
            </w: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w:t>
            </w: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64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w:t>
            </w: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Definition.</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61"/>
        </w:trPr>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46</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.LAB</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136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21"/>
                <w:szCs w:val="21"/>
                <w:color w:val="auto"/>
              </w:rPr>
            </w:pPr>
          </w:p>
        </w:tc>
      </w:tr>
      <w:tr>
        <w:trPr>
          <w:trHeight w:val="486"/>
        </w:trPr>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136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60" w:type="dxa"/>
            <w:vAlign w:val="bottom"/>
          </w:tcPr>
          <w:p>
            <w:pPr>
              <w:spacing w:after="0"/>
              <w:rPr>
                <w:sz w:val="21"/>
                <w:szCs w:val="21"/>
                <w:color w:val="auto"/>
              </w:rPr>
            </w:pPr>
          </w:p>
        </w:tc>
      </w:tr>
      <w:tr>
        <w:trPr>
          <w:trHeight w:val="486"/>
        </w:trPr>
        <w:tc>
          <w:tcPr>
            <w:tcW w:w="13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104</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136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56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contained in Exhibit 101).</w:t>
            </w:r>
          </w:p>
        </w:tc>
        <w:tc>
          <w:tcPr>
            <w:tcW w:w="560" w:type="dxa"/>
            <w:vAlign w:val="bottom"/>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380" w:right="179" w:hanging="330"/>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552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2020</w:t>
            </w:r>
          </w:p>
        </w:tc>
        <w:tc>
          <w:tcPr>
            <w:tcW w:w="55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E. Kevin Hrusovsky</w:t>
            </w:r>
          </w:p>
        </w:tc>
      </w:tr>
      <w:tr>
        <w:trPr>
          <w:trHeight w:val="191"/>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 Kevin Hrusovsky</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2020</w:t>
            </w:r>
          </w:p>
        </w:tc>
        <w:tc>
          <w:tcPr>
            <w:tcW w:w="55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Amol Chaubal</w:t>
            </w:r>
          </w:p>
        </w:tc>
      </w:tr>
      <w:tr>
        <w:trPr>
          <w:trHeight w:val="191"/>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Amol Chaubal</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890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AGREEMENT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Agreement and Amendment No. 3 to the License Agreement (“</w:t>
      </w:r>
      <w:r>
        <w:rPr>
          <w:rFonts w:ascii="Times New Roman" w:cs="Times New Roman" w:eastAsia="Times New Roman" w:hAnsi="Times New Roman"/>
          <w:sz w:val="20"/>
          <w:szCs w:val="20"/>
          <w:b w:val="1"/>
          <w:bCs w:val="1"/>
          <w:color w:val="auto"/>
        </w:rPr>
        <w:t>Third Amendment Agreement</w:t>
      </w:r>
      <w:r>
        <w:rPr>
          <w:rFonts w:ascii="Times New Roman" w:cs="Times New Roman" w:eastAsia="Times New Roman" w:hAnsi="Times New Roman"/>
          <w:sz w:val="20"/>
          <w:szCs w:val="20"/>
          <w:color w:val="auto"/>
        </w:rPr>
        <w:t>”) is dated and effective as of September 25, 2020 (the “</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and is made by and between the TRUSTEES OF TUFTS COLLEGE, a/k/a TUFTS UNIVERSITY, a Massachusetts non-profit educational corporation having offices at the Office of Technology Transfer and Industry Collaboration, Suite 75K-950, 136 Harrison Avenue, Boston, MA 02111 (“</w:t>
      </w:r>
      <w:r>
        <w:rPr>
          <w:rFonts w:ascii="Times New Roman" w:cs="Times New Roman" w:eastAsia="Times New Roman" w:hAnsi="Times New Roman"/>
          <w:sz w:val="20"/>
          <w:szCs w:val="20"/>
          <w:b w:val="1"/>
          <w:bCs w:val="1"/>
          <w:color w:val="auto"/>
        </w:rPr>
        <w:t>TUFTS</w:t>
      </w:r>
      <w:r>
        <w:rPr>
          <w:rFonts w:ascii="Times New Roman" w:cs="Times New Roman" w:eastAsia="Times New Roman" w:hAnsi="Times New Roman"/>
          <w:sz w:val="20"/>
          <w:szCs w:val="20"/>
          <w:color w:val="auto"/>
        </w:rPr>
        <w:t>”), and QUANTERIX CORPORATION (f/k/a Digital Genomics, Inc.), a Delaware corporation with a principal place of business at 113 Hartwell Avenue, Lexington, MA 02421 (“</w:t>
      </w:r>
      <w:r>
        <w:rPr>
          <w:rFonts w:ascii="Times New Roman" w:cs="Times New Roman" w:eastAsia="Times New Roman" w:hAnsi="Times New Roman"/>
          <w:sz w:val="20"/>
          <w:szCs w:val="20"/>
          <w:b w:val="1"/>
          <w:bCs w:val="1"/>
          <w:color w:val="auto"/>
        </w:rPr>
        <w:t>LICENSEE</w:t>
      </w:r>
      <w:r>
        <w:rPr>
          <w:rFonts w:ascii="Times New Roman" w:cs="Times New Roman" w:eastAsia="Times New Roman" w:hAnsi="Times New Roman"/>
          <w:sz w:val="20"/>
          <w:szCs w:val="20"/>
          <w:color w:val="auto"/>
        </w:rPr>
        <w:t>”). Each of LICENSEE and TUFTS may be referred to individually herein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0"/>
          <w:szCs w:val="20"/>
          <w:color w:val="auto"/>
        </w:rPr>
        <w:t>WHEREAS, the Parties entered into an Exclusive License Agreement, effective as of June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2007 (the “</w:t>
      </w:r>
      <w:r>
        <w:rPr>
          <w:rFonts w:ascii="Times New Roman" w:cs="Times New Roman" w:eastAsia="Times New Roman" w:hAnsi="Times New Roman"/>
          <w:sz w:val="20"/>
          <w:szCs w:val="20"/>
          <w:b w:val="1"/>
          <w:bCs w:val="1"/>
          <w:color w:val="auto"/>
        </w:rPr>
        <w:t>License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WHEREAS, the Parties amended the License Agreement effective April 29, 2013 (the “</w:t>
      </w:r>
      <w:r>
        <w:rPr>
          <w:rFonts w:ascii="Times New Roman" w:cs="Times New Roman" w:eastAsia="Times New Roman" w:hAnsi="Times New Roman"/>
          <w:sz w:val="20"/>
          <w:szCs w:val="20"/>
          <w:b w:val="1"/>
          <w:bCs w:val="1"/>
          <w:color w:val="auto"/>
        </w:rPr>
        <w:t>First Amendment Agreement</w:t>
      </w:r>
      <w:r>
        <w:rPr>
          <w:rFonts w:ascii="Times New Roman" w:cs="Times New Roman" w:eastAsia="Times New Roman" w:hAnsi="Times New Roman"/>
          <w:sz w:val="20"/>
          <w:szCs w:val="20"/>
          <w:color w:val="auto"/>
        </w:rPr>
        <w:t>”) and August 22, 2017 (the “</w:t>
      </w:r>
      <w:r>
        <w:rPr>
          <w:rFonts w:ascii="Times New Roman" w:cs="Times New Roman" w:eastAsia="Times New Roman" w:hAnsi="Times New Roman"/>
          <w:sz w:val="20"/>
          <w:szCs w:val="20"/>
          <w:b w:val="1"/>
          <w:bCs w:val="1"/>
          <w:color w:val="auto"/>
        </w:rPr>
        <w:t>Second Amendment Agreement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LICENSEE and [***] entered into that certain [***];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Parties desire to further amend the License Agreement as set forth herein.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mutual promises and agreements set forth herein, and for other good and valuable consideration, the receipt and sufficiency of which are hereby acknowledged, TUFTS and LICENSEE hereby agree as follows:</w:t>
      </w:r>
    </w:p>
    <w:p>
      <w:pPr>
        <w:spacing w:after="0" w:line="170"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Capitalized terms used herein, but not otherwise defined shall have the meanings set forth in the License Agreement, as amended.</w:t>
      </w:r>
    </w:p>
    <w:p>
      <w:pPr>
        <w:spacing w:after="0" w:line="169"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License Agreement Amendment</w:t>
      </w:r>
    </w:p>
    <w:p>
      <w:pPr>
        <w:spacing w:after="0" w:line="233" w:lineRule="exact"/>
        <w:rPr>
          <w:sz w:val="20"/>
          <w:szCs w:val="20"/>
          <w:color w:val="auto"/>
        </w:rPr>
      </w:pPr>
    </w:p>
    <w:p>
      <w:pPr>
        <w:ind w:left="340"/>
        <w:spacing w:after="0"/>
        <w:tabs>
          <w:tab w:leader="none" w:pos="13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Section 5.5(a) of the License Agreement shall be deleted and replaced in its entirety as follows:</w:t>
      </w:r>
    </w:p>
    <w:p>
      <w:pPr>
        <w:spacing w:after="0" w:line="225" w:lineRule="exact"/>
        <w:rPr>
          <w:sz w:val="20"/>
          <w:szCs w:val="20"/>
          <w:color w:val="auto"/>
        </w:rPr>
      </w:pPr>
    </w:p>
    <w:p>
      <w:pPr>
        <w:ind w:left="74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19"/>
          <w:szCs w:val="19"/>
          <w:b w:val="1"/>
          <w:bCs w:val="1"/>
          <w:u w:val="single" w:color="auto"/>
          <w:color w:val="auto"/>
        </w:rPr>
        <w:t>Sublicense Income</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left="1380" w:hanging="647"/>
        <w:spacing w:after="0" w:line="246" w:lineRule="auto"/>
        <w:tabs>
          <w:tab w:leader="none" w:pos="141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Sections 5.5(b), 5.5(c) and 5.5(e)(i) of this Agreement, in the event that, pursuant to Section 3.3 of this Agreement, LICENSEE grants a sublicense under its rights in Section 3.1 of this Agreement and receives Sublicense Income from a Sublicensee in respect of such grant within the period set forth below under the heading “Calendar Year,” LICENSEE agrees to pay TUFTS a percentage of such Sublicense Income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9"/>
          <w:szCs w:val="19"/>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20"/>
          <w:szCs w:val="20"/>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7" w:lineRule="exact"/>
        <w:rPr>
          <w:sz w:val="20"/>
          <w:szCs w:val="20"/>
          <w:color w:val="auto"/>
        </w:rPr>
      </w:pPr>
    </w:p>
    <w:tbl>
      <w:tblPr>
        <w:tblLayout w:type="fixed"/>
        <w:tblInd w:w="1010" w:type="dxa"/>
        <w:tblCellMar>
          <w:top w:w="0" w:type="dxa"/>
          <w:left w:w="0" w:type="dxa"/>
          <w:bottom w:w="0" w:type="dxa"/>
          <w:right w:w="0" w:type="dxa"/>
        </w:tblCellMar>
      </w:tblPr>
      <w:tr>
        <w:trPr>
          <w:trHeight w:val="203"/>
        </w:trPr>
        <w:tc>
          <w:tcPr>
            <w:tcW w:w="4420" w:type="dxa"/>
            <w:vAlign w:val="bottom"/>
            <w:tcBorders>
              <w:top w:val="single" w:sz="8" w:color="auto"/>
              <w:left w:val="single" w:sz="8" w:color="auto"/>
              <w:right w:val="single" w:sz="8" w:color="auto"/>
            </w:tcBorders>
            <w:gridSpan w:val="3"/>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CALENDAR YEAR</w:t>
            </w:r>
          </w:p>
        </w:tc>
        <w:tc>
          <w:tcPr>
            <w:tcW w:w="3500" w:type="dxa"/>
            <w:vAlign w:val="bottom"/>
            <w:tcBorders>
              <w:top w:val="single" w:sz="8" w:color="auto"/>
              <w:right w:val="single" w:sz="8" w:color="auto"/>
            </w:tcBorders>
            <w:gridSpan w:val="5"/>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9"/>
              </w:rPr>
              <w:t>% OF SUBLICENSE INCOME</w:t>
            </w:r>
          </w:p>
        </w:tc>
      </w:tr>
      <w:tr>
        <w:trPr>
          <w:trHeight w:val="209"/>
        </w:trPr>
        <w:tc>
          <w:tcPr>
            <w:tcW w:w="1360" w:type="dxa"/>
            <w:vAlign w:val="bottom"/>
            <w:tcBorders>
              <w:left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Borders>
              <w:top w:val="single" w:sz="8" w:color="auto"/>
            </w:tcBorders>
            <w:gridSpan w:val="3"/>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6"/>
              </w:rPr>
              <w:t>PAYABLE TO TUFTS</w:t>
            </w:r>
          </w:p>
        </w:tc>
        <w:tc>
          <w:tcPr>
            <w:tcW w:w="400" w:type="dxa"/>
            <w:vAlign w:val="bottom"/>
            <w:tcBorders>
              <w:right w:val="single" w:sz="8" w:color="auto"/>
            </w:tcBorders>
          </w:tcPr>
          <w:p>
            <w:pPr>
              <w:spacing w:after="0"/>
              <w:rPr>
                <w:sz w:val="18"/>
                <w:szCs w:val="18"/>
                <w:color w:val="auto"/>
              </w:rPr>
            </w:pPr>
          </w:p>
        </w:tc>
      </w:tr>
      <w:tr>
        <w:trPr>
          <w:trHeight w:val="129"/>
        </w:trPr>
        <w:tc>
          <w:tcPr>
            <w:tcW w:w="1360" w:type="dxa"/>
            <w:vAlign w:val="bottom"/>
            <w:tcBorders>
              <w:left w:val="single" w:sz="8" w:color="auto"/>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20" w:type="dxa"/>
            <w:vAlign w:val="bottom"/>
            <w:tcBorders>
              <w:top w:val="single" w:sz="8" w:color="auto"/>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r>
      <w:tr>
        <w:trPr>
          <w:trHeight w:val="252"/>
        </w:trPr>
        <w:tc>
          <w:tcPr>
            <w:tcW w:w="44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Prior to and including December 31, 2017</w:t>
            </w: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2018</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2019</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2020</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2021</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2022</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2023</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52"/>
        </w:trPr>
        <w:tc>
          <w:tcPr>
            <w:tcW w:w="3080" w:type="dxa"/>
            <w:vAlign w:val="bottom"/>
            <w:tcBorders>
              <w:left w:val="single" w:sz="8" w:color="auto"/>
            </w:tcBorders>
            <w:gridSpan w:val="2"/>
          </w:tcPr>
          <w:p>
            <w:pPr>
              <w:jc w:val="center"/>
              <w:ind w:left="1261"/>
              <w:spacing w:after="0"/>
              <w:rPr>
                <w:sz w:val="20"/>
                <w:szCs w:val="20"/>
                <w:color w:val="auto"/>
              </w:rPr>
            </w:pPr>
            <w:r>
              <w:rPr>
                <w:rFonts w:ascii="Times New Roman" w:cs="Times New Roman" w:eastAsia="Times New Roman" w:hAnsi="Times New Roman"/>
                <w:sz w:val="20"/>
                <w:szCs w:val="20"/>
                <w:color w:val="auto"/>
                <w:w w:val="99"/>
              </w:rPr>
              <w:t>2024</w:t>
            </w:r>
          </w:p>
        </w:tc>
        <w:tc>
          <w:tcPr>
            <w:tcW w:w="1340" w:type="dxa"/>
            <w:vAlign w:val="bottom"/>
            <w:tcBorders>
              <w:right w:val="single" w:sz="8" w:color="auto"/>
            </w:tcBorders>
          </w:tcPr>
          <w:p>
            <w:pPr>
              <w:spacing w:after="0"/>
              <w:rPr>
                <w:sz w:val="21"/>
                <w:szCs w:val="21"/>
                <w:color w:val="auto"/>
              </w:rPr>
            </w:pPr>
          </w:p>
        </w:tc>
        <w:tc>
          <w:tcPr>
            <w:tcW w:w="270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r>
      <w:tr>
        <w:trPr>
          <w:trHeight w:val="79"/>
        </w:trPr>
        <w:tc>
          <w:tcPr>
            <w:tcW w:w="1360" w:type="dxa"/>
            <w:vAlign w:val="bottom"/>
            <w:tcBorders>
              <w:left w:val="single" w:sz="8" w:color="auto"/>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r>
      <w:tr>
        <w:trPr>
          <w:trHeight w:val="200"/>
        </w:trPr>
        <w:tc>
          <w:tcPr>
            <w:tcW w:w="4420" w:type="dxa"/>
            <w:vAlign w:val="bottom"/>
            <w:tcBorders>
              <w:left w:val="single" w:sz="8" w:color="auto"/>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0"/>
                <w:szCs w:val="20"/>
                <w:color w:val="auto"/>
              </w:rPr>
              <w:t>Starting on January 1, 2025 and all years thereafter</w:t>
            </w:r>
          </w:p>
        </w:tc>
        <w:tc>
          <w:tcPr>
            <w:tcW w:w="2700" w:type="dxa"/>
            <w:vAlign w:val="bottom"/>
            <w:gridSpan w:val="3"/>
          </w:tcPr>
          <w:p>
            <w:pPr>
              <w:jc w:val="center"/>
              <w:ind w:left="701"/>
              <w:spacing w:after="0" w:line="200" w:lineRule="exact"/>
              <w:rPr>
                <w:sz w:val="20"/>
                <w:szCs w:val="20"/>
                <w:color w:val="auto"/>
              </w:rPr>
            </w:pPr>
            <w:r>
              <w:rPr>
                <w:rFonts w:ascii="Times New Roman" w:cs="Times New Roman" w:eastAsia="Times New Roman" w:hAnsi="Times New Roman"/>
                <w:sz w:val="20"/>
                <w:szCs w:val="20"/>
                <w:color w:val="auto"/>
                <w:w w:val="96"/>
              </w:rPr>
              <w:t>[***]</w:t>
            </w:r>
          </w:p>
        </w:tc>
        <w:tc>
          <w:tcPr>
            <w:tcW w:w="4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230"/>
        </w:trPr>
        <w:tc>
          <w:tcPr>
            <w:tcW w:w="44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until the expiration or termination of this Agreement</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r>
      <w:tr>
        <w:trPr>
          <w:trHeight w:val="258"/>
        </w:trPr>
        <w:tc>
          <w:tcPr>
            <w:tcW w:w="44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pursuant to Article X of this Agreement.</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r>
      <w:tr>
        <w:trPr>
          <w:trHeight w:val="102"/>
        </w:trPr>
        <w:tc>
          <w:tcPr>
            <w:tcW w:w="1360" w:type="dxa"/>
            <w:vAlign w:val="bottom"/>
            <w:tcBorders>
              <w:left w:val="single" w:sz="8" w:color="auto"/>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 The following will be added as a new Section 5.5(e) of the License Agreement:</w:t>
      </w:r>
    </w:p>
    <w:p>
      <w:pPr>
        <w:spacing w:after="0" w:line="229" w:lineRule="exact"/>
        <w:rPr>
          <w:sz w:val="20"/>
          <w:szCs w:val="20"/>
          <w:color w:val="auto"/>
        </w:rPr>
      </w:pPr>
    </w:p>
    <w:p>
      <w:pPr>
        <w:jc w:val="both"/>
        <w:ind w:left="1300" w:hanging="644"/>
        <w:spacing w:after="0" w:line="246" w:lineRule="auto"/>
        <w:tabs>
          <w:tab w:leader="none" w:pos="155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Notwithstanding anything to the contrary in Section 5.4(b) or 5.5(a) of the License Agreement, as amended, the Parties acknowledge and agree that the upfront fee contemplated by [***] shall be deemed to constitute Sublicense Income to the extent actually received by LICENSEE. LICENSEE agrees to pay TUFTS, and TUFTS agrees that the amount payable to TUFTS of the foregoing upfront fee shall be, [***] payable within thirty (30) days of receipt of such upfront fee by LICENSEE.</w:t>
      </w:r>
    </w:p>
    <w:p>
      <w:pPr>
        <w:spacing w:after="0" w:line="198" w:lineRule="exact"/>
        <w:rPr>
          <w:rFonts w:ascii="Times New Roman" w:cs="Times New Roman" w:eastAsia="Times New Roman" w:hAnsi="Times New Roman"/>
          <w:sz w:val="20"/>
          <w:szCs w:val="20"/>
          <w:color w:val="auto"/>
        </w:rPr>
      </w:pPr>
    </w:p>
    <w:p>
      <w:pPr>
        <w:jc w:val="both"/>
        <w:ind w:left="130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For the avoidance of doubt, the milestone payments contemplated by [***] shall be deemed to constitute Sublicense Income to the extent actually received by LICENSEE. LICENSEE agrees to pay TUFTS, and TUFTS agrees that the amount payable to TUFTS of the foregoing milestone payments shall be as set forth in Section 5.5(a) of the License Agreement, as amended.</w:t>
      </w:r>
    </w:p>
    <w:p>
      <w:pPr>
        <w:spacing w:after="0" w:line="18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of Amendment Agreement</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Third Amendment Agreement amends the License Agreement as of the Third Amendment Effective Date, and, as applicable, the applicable provisions herein supplement the applicable provisions of the License Agreement, the First Amendment Agreement and the Second Amendment Agreement. The License Agreement, together with the First Amendment Agreement, Second Amendment Agreement and Third Amendment Agreement, shall henceforth be read together and shall have effect so far as practicable as though all the provisions thereof and hereof were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20"/>
          <w:szCs w:val="20"/>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one instrument. The License Agreement, as amended, shall continue in full force and effect for the remainder of the term thereof in accordance with the terms thereof and hereof.</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Third Amendment Agreement to be executed by their duly authorized representatives as of the Third Amendment Effective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6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TUFTS UNIVERSITY</w:t>
            </w:r>
          </w:p>
        </w:tc>
        <w:tc>
          <w:tcPr>
            <w:tcW w:w="800" w:type="dxa"/>
            <w:vAlign w:val="bottom"/>
          </w:tcPr>
          <w:p>
            <w:pPr>
              <w:spacing w:after="0"/>
              <w:rPr>
                <w:sz w:val="20"/>
                <w:szCs w:val="20"/>
                <w:color w:val="auto"/>
              </w:rPr>
            </w:pPr>
          </w:p>
        </w:tc>
        <w:tc>
          <w:tcPr>
            <w:tcW w:w="448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QUANTERIX CORPORATION</w:t>
            </w: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MARTIN J. SON</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FRY</w:t>
            </w:r>
          </w:p>
        </w:tc>
      </w:tr>
      <w:tr>
        <w:trPr>
          <w:trHeight w:val="200"/>
        </w:trPr>
        <w:tc>
          <w:tcPr>
            <w:tcW w:w="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0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Martin J. Son</w:t>
            </w:r>
          </w:p>
        </w:tc>
        <w:tc>
          <w:tcPr>
            <w:tcW w:w="8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48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John J. Fry</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Interim Senior Director</w:t>
            </w:r>
          </w:p>
        </w:tc>
        <w:tc>
          <w:tcPr>
            <w:tcW w:w="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Kevin Hrusovsky, certify that:</w:t>
      </w:r>
    </w:p>
    <w:p>
      <w:pPr>
        <w:spacing w:after="0" w:line="225"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Amol Chaubal, certify that:</w:t>
      </w:r>
    </w:p>
    <w:p>
      <w:pPr>
        <w:spacing w:after="0" w:line="225"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Amol Chaubal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September 30,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November 6, 2020</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 Kevin Hrusovsky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 Kevin Hrusovsky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648"/>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November 6, 2020</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Amol Chaubal</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Amol Chaubal</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5"/>
    </w:lvl>
  </w:abstractNum>
  <w:abstractNum w:abstractNumId="14">
    <w:nsid w:val="6B68079A"/>
    <w:multiLevelType w:val="hybridMultilevel"/>
    <w:lvl w:ilvl="0">
      <w:lvlJc w:val="left"/>
      <w:lvlText w:val="%1."/>
      <w:numFmt w:val="decimal"/>
      <w:start w:val="3"/>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68" Type="http://schemas.openxmlformats.org/officeDocument/2006/relationships/hyperlink" Target="https://www.sec.gov/Archives/edgar/data/1503274/000110465920112216/tm203038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2020-11-06T13:08:39Z</dcterms:created>
  <dcterms:modified xsi:type="dcterms:W3CDTF">2020-11-06T13:08:39Z</dcterms:modified>
</cp:coreProperties>
</file>