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15391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1460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420370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72"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SCHEDULE 14A</w:t>
      </w:r>
    </w:p>
    <w:p>
      <w:pPr>
        <w:spacing w:after="0" w:line="2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(Rule 14a-101)</w:t>
      </w:r>
    </w:p>
    <w:p>
      <w:pPr>
        <w:spacing w:after="0" w:line="172"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SCHEDULE 14A INFORMATION</w:t>
      </w:r>
    </w:p>
    <w:p>
      <w:pPr>
        <w:spacing w:after="0" w:line="2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40"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91"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2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91"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Confidential, for Use of the Commission Only (as permitted by Rule 14a-6(e)(2))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187"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QUANTERIX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8" w:lineRule="exact"/>
        <w:rPr>
          <w:sz w:val="24"/>
          <w:szCs w:val="24"/>
          <w:color w:val="auto"/>
        </w:rPr>
      </w:pPr>
    </w:p>
    <w:p>
      <w:pPr>
        <w:jc w:val="center"/>
        <w:ind w:right="-1169"/>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r>
        <w:rPr>
          <w:rFonts w:ascii="Times New Roman" w:cs="Times New Roman" w:eastAsia="Times New Roman" w:hAnsi="Times New Roman"/>
          <w:sz w:val="15"/>
          <w:szCs w:val="15"/>
          <w:color w:val="auto"/>
        </w:rPr>
        <w:t>)</w:t>
      </w:r>
    </w:p>
    <w:p>
      <w:pPr>
        <w:spacing w:after="0" w:line="187"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KENT LAKE PARTNERS LP</w:t>
      </w:r>
    </w:p>
    <w:p>
      <w:pPr>
        <w:spacing w:after="0" w:line="24"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KENT LAKE PR LLC</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BENJAMIN NATTER</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ALEXANDER G. DICKINSON</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BRUCE FELT</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color w:val="auto"/>
        </w:rPr>
        <w:t>HAKAN SAKUL</w:t>
      </w:r>
    </w:p>
    <w:p>
      <w:pPr>
        <w:spacing w:after="0" w:line="183" w:lineRule="exact"/>
        <w:rPr>
          <w:sz w:val="24"/>
          <w:szCs w:val="24"/>
          <w:color w:val="auto"/>
        </w:rPr>
      </w:pPr>
    </w:p>
    <w:p>
      <w:pPr>
        <w:jc w:val="right"/>
        <w:ind w:right="2179"/>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539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7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191" w:lineRule="exact"/>
        <w:rPr>
          <w:sz w:val="24"/>
          <w:szCs w:val="24"/>
          <w:color w:val="auto"/>
        </w:rPr>
      </w:pPr>
    </w:p>
    <w:p>
      <w:pPr>
        <w:ind w:left="269" w:hanging="269"/>
        <w:spacing w:after="0"/>
        <w:tabs>
          <w:tab w:leader="none" w:pos="269"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91" w:lineRule="exact"/>
        <w:rPr>
          <w:sz w:val="24"/>
          <w:szCs w:val="24"/>
          <w:color w:val="auto"/>
        </w:rPr>
      </w:pPr>
    </w:p>
    <w:p>
      <w:pPr>
        <w:ind w:left="269" w:hanging="269"/>
        <w:spacing w:after="0"/>
        <w:tabs>
          <w:tab w:leader="none" w:pos="269"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148"/>
          </w:cols>
          <w:pgMar w:left="311" w:top="882" w:right="1440" w:bottom="1440" w:gutter="0" w:footer="0" w:header="0"/>
        </w:sectPr>
      </w:pPr>
    </w:p>
    <w:bookmarkStart w:id="1" w:name="page2"/>
    <w:bookmarkEnd w:id="1"/>
    <w:p>
      <w:pPr>
        <w:jc w:val="both"/>
        <w:ind w:right="20" w:firstLine="545"/>
        <w:spacing w:after="0" w:line="269" w:lineRule="auto"/>
        <w:rPr>
          <w:sz w:val="20"/>
          <w:szCs w:val="20"/>
          <w:color w:val="auto"/>
        </w:rPr>
      </w:pPr>
      <w:r>
        <w:rPr>
          <w:rFonts w:ascii="Times New Roman" w:cs="Times New Roman" w:eastAsia="Times New Roman" w:hAnsi="Times New Roman"/>
          <w:sz w:val="15"/>
          <w:szCs w:val="15"/>
          <w:color w:val="auto"/>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spacing w:after="0" w:line="147" w:lineRule="exact"/>
        <w:rPr>
          <w:sz w:val="20"/>
          <w:szCs w:val="20"/>
          <w:color w:val="auto"/>
        </w:rPr>
      </w:pPr>
    </w:p>
    <w:p>
      <w:pPr>
        <w:jc w:val="both"/>
        <w:ind w:firstLine="545"/>
        <w:spacing w:after="0" w:line="286" w:lineRule="auto"/>
        <w:rPr>
          <w:sz w:val="20"/>
          <w:szCs w:val="20"/>
          <w:color w:val="auto"/>
        </w:rPr>
      </w:pPr>
      <w:r>
        <w:rPr>
          <w:rFonts w:ascii="Times New Roman" w:cs="Times New Roman" w:eastAsia="Times New Roman" w:hAnsi="Times New Roman"/>
          <w:sz w:val="15"/>
          <w:szCs w:val="15"/>
          <w:color w:val="auto"/>
        </w:rPr>
        <w:t>On March 11, 2025, Kent Lake Partners issued the following press release and Investor Presentation, a copy of which is attached hereto as Exhibit 1 and is incorporated herein by reference.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Kent Lake Issues Investor Presentation Detailing Opposition to Quanterix’s Proposed Merger with Akoya Biosciences</w:t>
      </w:r>
    </w:p>
    <w:p>
      <w:pPr>
        <w:spacing w:after="0" w:line="177" w:lineRule="exact"/>
        <w:rPr>
          <w:sz w:val="20"/>
          <w:szCs w:val="20"/>
          <w:color w:val="auto"/>
        </w:rPr>
      </w:pPr>
    </w:p>
    <w:p>
      <w:pPr>
        <w:ind w:left="3700"/>
        <w:spacing w:after="0"/>
        <w:rPr>
          <w:sz w:val="20"/>
          <w:szCs w:val="20"/>
          <w:color w:val="auto"/>
        </w:rPr>
      </w:pPr>
      <w:r>
        <w:rPr>
          <w:rFonts w:ascii="Arial" w:cs="Arial" w:eastAsia="Arial" w:hAnsi="Arial"/>
          <w:sz w:val="15"/>
          <w:szCs w:val="15"/>
          <w:i w:val="1"/>
          <w:iCs w:val="1"/>
          <w:color w:val="auto"/>
        </w:rPr>
        <w:t>Believes Transaction Significantly Undervalues Quanterix</w:t>
      </w:r>
    </w:p>
    <w:p>
      <w:pPr>
        <w:spacing w:after="0" w:line="168" w:lineRule="exact"/>
        <w:rPr>
          <w:sz w:val="20"/>
          <w:szCs w:val="20"/>
          <w:color w:val="auto"/>
        </w:rPr>
      </w:pPr>
    </w:p>
    <w:p>
      <w:pPr>
        <w:ind w:left="1840"/>
        <w:spacing w:after="0"/>
        <w:rPr>
          <w:sz w:val="20"/>
          <w:szCs w:val="20"/>
          <w:color w:val="auto"/>
        </w:rPr>
      </w:pPr>
      <w:r>
        <w:rPr>
          <w:rFonts w:ascii="Arial" w:cs="Arial" w:eastAsia="Arial" w:hAnsi="Arial"/>
          <w:sz w:val="15"/>
          <w:szCs w:val="15"/>
          <w:i w:val="1"/>
          <w:iCs w:val="1"/>
          <w:color w:val="auto"/>
        </w:rPr>
        <w:t>Highlights that Quanterix’s Board is Essentially Rescuing Akoya at the Direct Expense of Quanterix Shareholders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Transaction Would Introduce Unnecessary Risk and Divert Cash and Management Focus Away from Quanterix’s Alzheimer’s Diagnostics Program, a Core Growth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Opportunity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Calls on Quanterix Board to Answer Pressing Questions around Valuation, Process and Governance Issues in Connection with Transaction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Urges Shareholders to Vote Against Merger with Akoya to Protect the Future Value of Their Investment</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RINCON, Puerto Rico – March 11, 2025 – Kent Lake PR LLC (“Kent Lake”) a holder of 7.25% of the outstanding common stock of Quanterix Corporation (“Quanterix” or the “Company”) (NASDAQ: QTRX), today issued a presentation to Quanterix shareholders in connection to Kent Lake’s opposition to the Company’s proposed transaction (the “Transaction”) with Akoya Biosciences (“Akoya”) (NASDAQ: AKYA).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Kent Lake’s full presentation is available at </w:t>
      </w:r>
      <w:r>
        <w:rPr>
          <w:rFonts w:ascii="Arial" w:cs="Arial" w:eastAsia="Arial" w:hAnsi="Arial"/>
          <w:sz w:val="15"/>
          <w:szCs w:val="15"/>
          <w:u w:val="single" w:color="auto"/>
          <w:color w:val="0563C1"/>
        </w:rPr>
        <w:t>https://kentlake.s3.us-west-1.amazonaws.com/QTRX-AKYA_KLPRVoteNoDeck.pdf</w:t>
      </w:r>
      <w:r>
        <w:rPr>
          <w:rFonts w:ascii="Arial" w:cs="Arial" w:eastAsia="Arial" w:hAnsi="Arial"/>
          <w:sz w:val="15"/>
          <w:szCs w:val="15"/>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Highlights of the presentation include:</w:t>
      </w:r>
    </w:p>
    <w:p>
      <w:pPr>
        <w:spacing w:after="0" w:line="168" w:lineRule="exact"/>
        <w:rPr>
          <w:sz w:val="20"/>
          <w:szCs w:val="20"/>
          <w:color w:val="auto"/>
        </w:rPr>
      </w:pPr>
    </w:p>
    <w:p>
      <w:pPr>
        <w:ind w:left="540" w:hanging="277"/>
        <w:spacing w:after="0" w:line="273" w:lineRule="auto"/>
        <w:tabs>
          <w:tab w:leader="none" w:pos="54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The Transaction is a bad deal for Quanterix shareholders – </w:t>
      </w:r>
      <w:r>
        <w:rPr>
          <w:rFonts w:ascii="Arial" w:cs="Arial" w:eastAsia="Arial" w:hAnsi="Arial"/>
          <w:sz w:val="15"/>
          <w:szCs w:val="15"/>
          <w:color w:val="auto"/>
        </w:rPr>
        <w:t>The Transaction inexplicably values Akoya nearly 5x higher than Quanterix, despite Quanterix’s</w:t>
      </w:r>
      <w:r>
        <w:rPr>
          <w:rFonts w:ascii="Arial" w:cs="Arial" w:eastAsia="Arial" w:hAnsi="Arial"/>
          <w:sz w:val="15"/>
          <w:szCs w:val="15"/>
          <w:b w:val="1"/>
          <w:bCs w:val="1"/>
          <w:color w:val="auto"/>
        </w:rPr>
        <w:t xml:space="preserve"> </w:t>
      </w:r>
      <w:r>
        <w:rPr>
          <w:rFonts w:ascii="Arial" w:cs="Arial" w:eastAsia="Arial" w:hAnsi="Arial"/>
          <w:sz w:val="15"/>
          <w:szCs w:val="15"/>
          <w:color w:val="auto"/>
        </w:rPr>
        <w:t>superior mix, growth and market opportunity. It is essentially a bailout of Akoya. Quanterix’s shares have declined nearly 40% since the deal announcement.</w:t>
      </w:r>
    </w:p>
    <w:p>
      <w:pPr>
        <w:spacing w:after="0" w:line="129" w:lineRule="exact"/>
        <w:rPr>
          <w:rFonts w:ascii="Times New Roman" w:cs="Times New Roman" w:eastAsia="Times New Roman" w:hAnsi="Times New Roman"/>
          <w:sz w:val="15"/>
          <w:szCs w:val="15"/>
          <w:color w:val="auto"/>
        </w:rPr>
      </w:pPr>
    </w:p>
    <w:p>
      <w:pPr>
        <w:jc w:val="both"/>
        <w:ind w:left="540" w:hanging="277"/>
        <w:spacing w:after="0" w:line="255" w:lineRule="auto"/>
        <w:tabs>
          <w:tab w:leader="none" w:pos="54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Quanterix ended up bidding against itself for Akoya – </w:t>
      </w:r>
      <w:r>
        <w:rPr>
          <w:rFonts w:ascii="Arial" w:cs="Arial" w:eastAsia="Arial" w:hAnsi="Arial"/>
          <w:sz w:val="15"/>
          <w:szCs w:val="15"/>
          <w:color w:val="auto"/>
        </w:rPr>
        <w:t>As revealed in the S-4 related to the Transaction, other motivated, strategic potential buyers of Akoya</w:t>
      </w:r>
      <w:r>
        <w:rPr>
          <w:rFonts w:ascii="Arial" w:cs="Arial" w:eastAsia="Arial" w:hAnsi="Arial"/>
          <w:sz w:val="15"/>
          <w:szCs w:val="15"/>
          <w:b w:val="1"/>
          <w:bCs w:val="1"/>
          <w:color w:val="auto"/>
        </w:rPr>
        <w:t xml:space="preserve"> </w:t>
      </w:r>
      <w:r>
        <w:rPr>
          <w:rFonts w:ascii="Arial" w:cs="Arial" w:eastAsia="Arial" w:hAnsi="Arial"/>
          <w:sz w:val="15"/>
          <w:szCs w:val="15"/>
          <w:color w:val="auto"/>
        </w:rPr>
        <w:t>walked away due to concerns around profitability, cash burn and leverage, leaving Quanterix as the only bidder. Reading the S-4 raises serious issues about the process that led to this Transaction.</w:t>
      </w:r>
    </w:p>
    <w:p>
      <w:pPr>
        <w:spacing w:after="0" w:line="142" w:lineRule="exact"/>
        <w:rPr>
          <w:rFonts w:ascii="Times New Roman" w:cs="Times New Roman" w:eastAsia="Times New Roman" w:hAnsi="Times New Roman"/>
          <w:sz w:val="15"/>
          <w:szCs w:val="15"/>
          <w:color w:val="auto"/>
        </w:rPr>
      </w:pPr>
    </w:p>
    <w:p>
      <w:pPr>
        <w:ind w:left="540" w:hanging="277"/>
        <w:spacing w:after="0" w:line="273" w:lineRule="auto"/>
        <w:tabs>
          <w:tab w:leader="none" w:pos="54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The merger introduces unnecessary risk for Quanterix – </w:t>
      </w:r>
      <w:r>
        <w:rPr>
          <w:rFonts w:ascii="Arial" w:cs="Arial" w:eastAsia="Arial" w:hAnsi="Arial"/>
          <w:sz w:val="15"/>
          <w:szCs w:val="15"/>
          <w:color w:val="auto"/>
        </w:rPr>
        <w:t>Expected National Institute of Health funding cuts will further strain Akoya’s business, making</w:t>
      </w:r>
      <w:r>
        <w:rPr>
          <w:rFonts w:ascii="Arial" w:cs="Arial" w:eastAsia="Arial" w:hAnsi="Arial"/>
          <w:sz w:val="15"/>
          <w:szCs w:val="15"/>
          <w:b w:val="1"/>
          <w:bCs w:val="1"/>
          <w:color w:val="auto"/>
        </w:rPr>
        <w:t xml:space="preserve"> </w:t>
      </w:r>
      <w:r>
        <w:rPr>
          <w:rFonts w:ascii="Arial" w:cs="Arial" w:eastAsia="Arial" w:hAnsi="Arial"/>
          <w:sz w:val="15"/>
          <w:szCs w:val="15"/>
          <w:color w:val="auto"/>
        </w:rPr>
        <w:t>Akoya’s balance sheet situation untenable and reinforcing Kent Lake’s belief that Akoya currently has little or no positive equity value.</w:t>
      </w:r>
    </w:p>
    <w:p>
      <w:pPr>
        <w:spacing w:after="0" w:line="129" w:lineRule="exact"/>
        <w:rPr>
          <w:rFonts w:ascii="Times New Roman" w:cs="Times New Roman" w:eastAsia="Times New Roman" w:hAnsi="Times New Roman"/>
          <w:sz w:val="15"/>
          <w:szCs w:val="15"/>
          <w:color w:val="auto"/>
        </w:rPr>
      </w:pPr>
    </w:p>
    <w:p>
      <w:pPr>
        <w:jc w:val="both"/>
        <w:ind w:left="540" w:hanging="277"/>
        <w:spacing w:after="0" w:line="255" w:lineRule="auto"/>
        <w:tabs>
          <w:tab w:leader="none" w:pos="54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Management is entrenched and conflicted – </w:t>
      </w:r>
      <w:r>
        <w:rPr>
          <w:rFonts w:ascii="Arial" w:cs="Arial" w:eastAsia="Arial" w:hAnsi="Arial"/>
          <w:sz w:val="15"/>
          <w:szCs w:val="15"/>
          <w:color w:val="auto"/>
        </w:rPr>
        <w:t>Certain directors remain on the Quanterix Board of Directors (the “Board”) despite failing to obtain majority</w:t>
      </w:r>
      <w:r>
        <w:rPr>
          <w:rFonts w:ascii="Arial" w:cs="Arial" w:eastAsia="Arial" w:hAnsi="Arial"/>
          <w:sz w:val="15"/>
          <w:szCs w:val="15"/>
          <w:b w:val="1"/>
          <w:bCs w:val="1"/>
          <w:color w:val="auto"/>
        </w:rPr>
        <w:t xml:space="preserve"> </w:t>
      </w:r>
      <w:r>
        <w:rPr>
          <w:rFonts w:ascii="Arial" w:cs="Arial" w:eastAsia="Arial" w:hAnsi="Arial"/>
          <w:sz w:val="15"/>
          <w:szCs w:val="15"/>
          <w:color w:val="auto"/>
        </w:rPr>
        <w:t>voting from shareholders, while others appear to have undisclosed conflicts of interest that compromise their fiduciary duty to Quanterix shareholders, such as Dr. Ivana Magovčević-Liebisch’s director position at a Company with a material interest in Akoya.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sectPr>
      </w:pPr>
    </w:p>
    <w:bookmarkStart w:id="2" w:name="page3"/>
    <w:bookmarkEnd w:id="2"/>
    <w:p>
      <w:pPr>
        <w:ind w:left="540" w:hanging="277"/>
        <w:spacing w:after="0" w:line="284" w:lineRule="auto"/>
        <w:tabs>
          <w:tab w:leader="none" w:pos="540"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The Transaction includes a provision where Quanterix would provide Akoya with $30 million in bridge financing absent any clear shareholder mandate – </w:t>
      </w:r>
      <w:r>
        <w:rPr>
          <w:rFonts w:ascii="Arial" w:cs="Arial" w:eastAsia="Arial" w:hAnsi="Arial"/>
          <w:sz w:val="15"/>
          <w:szCs w:val="15"/>
          <w:color w:val="auto"/>
        </w:rPr>
        <w:t>This is an egregious breach of the Board’s fiduciary duty to shareholders.</w:t>
      </w:r>
    </w:p>
    <w:p>
      <w:pPr>
        <w:spacing w:after="0" w:line="113" w:lineRule="exact"/>
        <w:rPr>
          <w:rFonts w:ascii="Times New Roman" w:cs="Times New Roman" w:eastAsia="Times New Roman" w:hAnsi="Times New Roman"/>
          <w:sz w:val="15"/>
          <w:szCs w:val="15"/>
          <w:color w:val="auto"/>
        </w:rPr>
      </w:pPr>
    </w:p>
    <w:p>
      <w:pPr>
        <w:ind w:left="540" w:right="20" w:hanging="277"/>
        <w:spacing w:after="0" w:line="273" w:lineRule="auto"/>
        <w:tabs>
          <w:tab w:leader="none" w:pos="540"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Quanterix has significant potential as a standalone company – </w:t>
      </w:r>
      <w:r>
        <w:rPr>
          <w:rFonts w:ascii="Arial" w:cs="Arial" w:eastAsia="Arial" w:hAnsi="Arial"/>
          <w:sz w:val="15"/>
          <w:szCs w:val="15"/>
          <w:color w:val="auto"/>
        </w:rPr>
        <w:t>The Transaction will divert focus away from Quanterix’s transformational Alzheimer’s testing</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opportunity, which, if pursued, could unlock substantial value.</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Kent Lake’s view, the incumbent Board can no longer be trusted to represent shareholders’ best interests. That is why Kent Lake recently nominated three highly qualified, independent candidates for election to Quanterix’s Board at the 2025 Annual Meeting of Shareholders. There are clear, superior alternatives for Quanterix on a standalone basis, and Kent Lake believes that abandoning the ill-fated Transaction would allow shareholders to realize greater value creation than combining with Akoya.</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Kent Lake</w:t>
      </w:r>
    </w:p>
    <w:p>
      <w:pPr>
        <w:spacing w:after="0" w:line="168"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Kent Lake Partners LP is an investment fund founded by Ben Natter in 2019 with a focus on small and mid-capitalization public equities, particularly in the healthcare space. Mr. Natter has over a decade of successful public healthcare equity investing experience.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Certain Information Concerning the Participants</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spacing w:after="0" w:line="132"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KENT LAKE STRONGLY ADVISES ALL SHAREHOLDERS OF THE COMPANY TO READ THE PROXY STATEMENT AND OTHER PROXY MATERIALS, INCLUDING ITS GOLD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38"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The participants in the proxy solicitation are currently anticipated to be Kent Lake Partners, Kent Lake PR LLC (“Kent Lake PR”) and Benjamin Natter (collectively, the “Kent Lake Parties”); and Alexander G. Dickinson, Bruce Felt and Hakan Sakul (the “Kent Lake Nominees” and collectively with the Kent Lake Parties, the “Participants”).</w:t>
      </w:r>
    </w:p>
    <w:p>
      <w:pPr>
        <w:spacing w:after="0" w:line="132" w:lineRule="exact"/>
        <w:rPr>
          <w:sz w:val="20"/>
          <w:szCs w:val="20"/>
          <w:color w:val="auto"/>
        </w:rPr>
      </w:pPr>
    </w:p>
    <w:p>
      <w:pPr>
        <w:ind w:right="280"/>
        <w:spacing w:after="0" w:line="246" w:lineRule="auto"/>
        <w:rPr>
          <w:sz w:val="20"/>
          <w:szCs w:val="20"/>
          <w:color w:val="auto"/>
        </w:rPr>
      </w:pPr>
      <w:r>
        <w:rPr>
          <w:rFonts w:ascii="Arial" w:cs="Arial" w:eastAsia="Arial" w:hAnsi="Arial"/>
          <w:sz w:val="15"/>
          <w:szCs w:val="15"/>
          <w:color w:val="auto"/>
        </w:rPr>
        <w:t>As of the date hereof, Kent Lake Partners directly beneficially owned 2,793,405 shares of the Company’s Common Stock, $0.001 par value per share (the “Common Stock”). Kent Lake PR, as the investment adviser and as the general partner to Kent Lake Partners, may be deemed to beneficially own the 2,793,405 shares of Common Stock beneficially owned by Kent Lake Partners. Mr. Natter, as the Managing Member of Kent Lake PR, may be deemed to beneficially own the 2,793,405 shares of Common Stock beneficially owned by Kent Lake Partners. None of the Kent Lake Nominees beneficially own any shares of Common Stock. All of the foregoing information is as of the date hereof unless otherwise disclosed.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Contacts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Ben Natter, 415-237-0007</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info@kentlakecap.com</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Saratoga Proxy Consulting LLC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John Ferguson / Ann Marie Mellone</w:t>
      </w:r>
    </w:p>
    <w:p>
      <w:pPr>
        <w:spacing w:after="0"/>
        <w:rPr>
          <w:sz w:val="20"/>
          <w:szCs w:val="20"/>
          <w:color w:val="auto"/>
        </w:rPr>
      </w:pPr>
      <w:r>
        <w:rPr>
          <w:rFonts w:ascii="Arial" w:cs="Arial" w:eastAsia="Arial" w:hAnsi="Arial"/>
          <w:sz w:val="15"/>
          <w:szCs w:val="15"/>
          <w:color w:val="auto"/>
        </w:rPr>
        <w:t>(212) 257-1311 / (888) 368-0379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sectPr>
      </w:pPr>
    </w:p>
    <w:bookmarkStart w:id="3" w:name="page4"/>
    <w:bookmarkEnd w:id="3"/>
    <w:p>
      <w:pPr>
        <w:spacing w:after="0"/>
        <w:rPr>
          <w:sz w:val="20"/>
          <w:szCs w:val="20"/>
          <w:color w:val="auto"/>
        </w:rPr>
      </w:pPr>
      <w:r>
        <w:rPr>
          <w:rFonts w:ascii="Arial" w:cs="Arial" w:eastAsia="Arial" w:hAnsi="Arial"/>
          <w:sz w:val="15"/>
          <w:szCs w:val="15"/>
          <w:color w:val="auto"/>
        </w:rPr>
        <w:t>info@saratogaproxy.com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Media Contact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Joe Germani / Kendall Heebink</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Longacre Square Partners</w:t>
      </w:r>
    </w:p>
    <w:p>
      <w:pPr>
        <w:spacing w:after="0"/>
        <w:rPr>
          <w:sz w:val="20"/>
          <w:szCs w:val="20"/>
          <w:color w:val="auto"/>
        </w:rPr>
      </w:pPr>
      <w:r>
        <w:rPr>
          <w:rFonts w:ascii="Arial" w:cs="Arial" w:eastAsia="Arial" w:hAnsi="Arial"/>
          <w:sz w:val="15"/>
          <w:szCs w:val="15"/>
          <w:color w:val="auto"/>
        </w:rPr>
        <w:t>KentLake@longacresquarepartners.com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539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139"/>
          </w:cols>
          <w:pgMar w:left="320" w:top="511" w:right="1440"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144780</wp:posOffset>
            </wp:positionV>
            <wp:extent cx="7206615" cy="424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6615" cy="424053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62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4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6615" cy="4247515"/>
                    </a:xfrm>
                    <a:prstGeom prst="rect">
                      <a:avLst/>
                    </a:prstGeom>
                    <a:noFill/>
                  </pic:spPr>
                </pic:pic>
              </a:graphicData>
            </a:graphic>
          </wp:anchor>
        </w:drawing>
      </w:r>
    </w:p>
    <w:p>
      <w:pPr>
        <w:sectPr>
          <w:pgSz w:w="11900" w:h="16838" w:orient="portrait"/>
          <w:cols w:equalWidth="0" w:num="1">
            <w:col w:w="10139"/>
          </w:cols>
          <w:pgMar w:left="320" w:top="20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06615" cy="4255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6615" cy="4255135"/>
                    </a:xfrm>
                    <a:prstGeom prst="rect">
                      <a:avLst/>
                    </a:prstGeom>
                    <a:noFill/>
                  </pic:spPr>
                </pic:pic>
              </a:graphicData>
            </a:graphic>
          </wp:anchor>
        </w:drawing>
      </w:r>
    </w:p>
    <w:sectPr>
      <w:pgSz w:w="11900" w:h="16838" w:orient="portrait"/>
      <w:cols w:equalWidth="0" w:num="1">
        <w:col w:w="10139"/>
      </w:cols>
      <w:pgMar w:left="320" w:top="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2025-03-11T15:46:03Z</dcterms:created>
  <dcterms:modified xsi:type="dcterms:W3CDTF">2025-03-11T15:46:03Z</dcterms:modified>
</cp:coreProperties>
</file>