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161290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7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40" w:hanging="330"/>
        <w:spacing w:after="0" w:line="236" w:lineRule="auto"/>
        <w:tabs>
          <w:tab w:leader="none" w:pos="3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340" w:hanging="330"/>
        <w:spacing w:after="0" w:line="256" w:lineRule="auto"/>
        <w:tabs>
          <w:tab w:leader="none" w:pos="3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475"/>
              <w:spacing w:after="0"/>
              <w:rPr>
                <w:sz w:val="20"/>
                <w:szCs w:val="20"/>
                <w:color w:val="auto"/>
              </w:rPr>
            </w:pPr>
            <w:r>
              <w:rPr>
                <w:rFonts w:ascii="Arial" w:cs="Arial" w:eastAsia="Arial" w:hAnsi="Arial"/>
                <w:sz w:val="18"/>
                <w:szCs w:val="18"/>
                <w:b w:val="1"/>
                <w:bCs w:val="1"/>
                <w:color w:val="auto"/>
              </w:rPr>
              <w:t>20-8957988</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20" w:type="dxa"/>
            <w:vAlign w:val="bottom"/>
          </w:tcPr>
          <w:p>
            <w:pPr>
              <w:jc w:val="center"/>
              <w:ind w:left="1155"/>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0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6"/>
              </w:rPr>
              <w:t>Billerica, MA</w:t>
            </w:r>
          </w:p>
        </w:tc>
        <w:tc>
          <w:tcPr>
            <w:tcW w:w="3220" w:type="dxa"/>
            <w:vAlign w:val="bottom"/>
          </w:tcPr>
          <w:p>
            <w:pPr>
              <w:jc w:val="right"/>
              <w:ind w:right="675"/>
              <w:spacing w:after="0"/>
              <w:rPr>
                <w:sz w:val="20"/>
                <w:szCs w:val="20"/>
                <w:color w:val="auto"/>
              </w:rPr>
            </w:pPr>
            <w:r>
              <w:rPr>
                <w:rFonts w:ascii="Arial" w:cs="Arial" w:eastAsia="Arial" w:hAnsi="Arial"/>
                <w:sz w:val="18"/>
                <w:szCs w:val="18"/>
                <w:b w:val="1"/>
                <w:bCs w:val="1"/>
                <w:color w:val="auto"/>
              </w:rPr>
              <w:t>01821</w:t>
            </w:r>
          </w:p>
        </w:tc>
      </w:tr>
      <w:tr>
        <w:trPr>
          <w:trHeight w:val="235"/>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155"/>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 of each class:</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left="20" w:right="2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42" w:lineRule="exact"/>
        <w:tabs>
          <w:tab w:leader="none" w:pos="5080" w:val="left"/>
          <w:tab w:leader="none" w:pos="5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jc w:val="both"/>
        <w:ind w:left="20" w:right="5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20" w:right="26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ind w:left="20" w:right="320" w:firstLine="648"/>
        <w:spacing w:after="0" w:line="23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1, 2023, the registrant had 37,408,723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533"/>
        </w:trPr>
        <w:tc>
          <w:tcPr>
            <w:tcW w:w="9300" w:type="dxa"/>
            <w:vAlign w:val="bottom"/>
            <w:gridSpan w:val="23"/>
          </w:tcPr>
          <w:p>
            <w:pPr>
              <w:spacing w:after="0"/>
              <w:rPr>
                <w:sz w:val="20"/>
                <w:szCs w:val="20"/>
                <w:color w:val="auto"/>
              </w:rPr>
            </w:pPr>
            <w:r>
              <w:rPr>
                <w:rFonts w:ascii="Arial" w:cs="Arial" w:eastAsia="Arial" w:hAnsi="Arial"/>
                <w:sz w:val="18"/>
                <w:szCs w:val="18"/>
                <w:color w:val="0000EE"/>
              </w:rPr>
              <w:t>Special Note Regarding Forward-Looking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28"/>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Borders>
              <w:bottom w:val="single" w:sz="8" w:color="0000EE"/>
            </w:tcBorders>
            <w:gridSpan w:val="9"/>
          </w:tcPr>
          <w:p>
            <w:pPr>
              <w:jc w:val="center"/>
              <w:spacing w:after="0"/>
              <w:rPr>
                <w:sz w:val="20"/>
                <w:szCs w:val="20"/>
                <w:color w:val="auto"/>
              </w:rPr>
            </w:pPr>
            <w:r>
              <w:rPr>
                <w:rFonts w:ascii="Arial" w:cs="Arial" w:eastAsia="Arial" w:hAnsi="Arial"/>
                <w:sz w:val="18"/>
                <w:szCs w:val="18"/>
                <w:b w:val="1"/>
                <w:bCs w:val="1"/>
                <w:color w:val="0000EE"/>
              </w:rPr>
              <w:t>PART I — FINANCIAL INFORMATION</w:t>
            </w:r>
          </w:p>
        </w:tc>
        <w:tc>
          <w:tcPr>
            <w:tcW w:w="302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r>
      <w:tr>
        <w:trPr>
          <w:trHeight w:val="412"/>
        </w:trPr>
        <w:tc>
          <w:tcPr>
            <w:tcW w:w="39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Item 1. Consolidated Financial Statements (Unaudited)</w:t>
            </w:r>
          </w:p>
        </w:tc>
        <w:tc>
          <w:tcPr>
            <w:tcW w:w="534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88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Balance Sheets at March 31, 2023 and December 31, 2022</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8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Operations for the Three Months Ended March 31, 2023 and 2022</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Consolidated Statements of Comprehensive Loss for the Three Months Ended March 31, 2023 and 2022</w:t>
            </w:r>
          </w:p>
        </w:tc>
        <w:tc>
          <w:tcPr>
            <w:tcW w:w="13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88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Cash Flows for the Three Months Ended March 31, 2023 and 2022</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8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Stockholders’ Equity for the Three Months Ended March 31, 2023 and 2022</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752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13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9300" w:type="dxa"/>
            <w:vAlign w:val="bottom"/>
            <w:gridSpan w:val="23"/>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49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230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9300" w:type="dxa"/>
            <w:vAlign w:val="bottom"/>
            <w:gridSpan w:val="23"/>
          </w:tcPr>
          <w:p>
            <w:pPr>
              <w:spacing w:after="0"/>
              <w:rPr>
                <w:sz w:val="20"/>
                <w:szCs w:val="20"/>
                <w:color w:val="auto"/>
              </w:rPr>
            </w:pPr>
            <w:r>
              <w:rPr>
                <w:rFonts w:ascii="Arial" w:cs="Arial" w:eastAsia="Arial" w:hAnsi="Arial"/>
                <w:sz w:val="18"/>
                <w:szCs w:val="18"/>
                <w:color w:val="0000EE"/>
              </w:rPr>
              <w:t>Item 4. Controls and Procedures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4"/>
          </w:tcPr>
          <w:p>
            <w:pPr>
              <w:jc w:val="center"/>
              <w:ind w:right="3020"/>
              <w:spacing w:after="0"/>
              <w:rPr>
                <w:sz w:val="20"/>
                <w:szCs w:val="20"/>
                <w:color w:val="auto"/>
              </w:rPr>
            </w:pPr>
            <w:r>
              <w:rPr>
                <w:rFonts w:ascii="Arial" w:cs="Arial" w:eastAsia="Arial" w:hAnsi="Arial"/>
                <w:sz w:val="18"/>
                <w:szCs w:val="18"/>
                <w:b w:val="1"/>
                <w:bCs w:val="1"/>
                <w:color w:val="0000EE"/>
              </w:rPr>
              <w:t>PART II — OTHER INFORMATION</w:t>
            </w:r>
          </w:p>
        </w:tc>
        <w:tc>
          <w:tcPr>
            <w:tcW w:w="420" w:type="dxa"/>
            <w:vAlign w:val="bottom"/>
          </w:tcPr>
          <w:p>
            <w:pPr>
              <w:spacing w:after="0"/>
              <w:rPr>
                <w:sz w:val="24"/>
                <w:szCs w:val="24"/>
                <w:color w:val="auto"/>
              </w:rPr>
            </w:pPr>
          </w:p>
        </w:tc>
      </w:tr>
      <w:tr>
        <w:trPr>
          <w:trHeight w:val="412"/>
        </w:trPr>
        <w:tc>
          <w:tcPr>
            <w:tcW w:w="3180" w:type="dxa"/>
            <w:vAlign w:val="bottom"/>
            <w:gridSpan w:val="10"/>
          </w:tcPr>
          <w:p>
            <w:pPr>
              <w:spacing w:after="0"/>
              <w:rPr>
                <w:sz w:val="20"/>
                <w:szCs w:val="20"/>
                <w:color w:val="auto"/>
              </w:rPr>
            </w:pPr>
            <w:r>
              <w:rPr>
                <w:rFonts w:ascii="Arial" w:cs="Arial" w:eastAsia="Arial" w:hAnsi="Arial"/>
                <w:sz w:val="18"/>
                <w:szCs w:val="18"/>
                <w:color w:val="0000EE"/>
              </w:rPr>
              <w:t>Item 1. Legal Proceedings</w:t>
            </w:r>
          </w:p>
        </w:tc>
        <w:tc>
          <w:tcPr>
            <w:tcW w:w="2940" w:type="dxa"/>
            <w:vAlign w:val="bottom"/>
            <w:tcBorders>
              <w:top w:val="single" w:sz="8" w:color="0000EE"/>
            </w:tcBorders>
            <w:gridSpan w:val="7"/>
          </w:tcPr>
          <w:p>
            <w:pPr>
              <w:spacing w:after="0"/>
              <w:rPr>
                <w:sz w:val="24"/>
                <w:szCs w:val="24"/>
                <w:color w:val="auto"/>
              </w:rPr>
            </w:pPr>
          </w:p>
        </w:tc>
        <w:tc>
          <w:tcPr>
            <w:tcW w:w="318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18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Item 1A. Risk Factors</w:t>
            </w:r>
          </w:p>
        </w:tc>
        <w:tc>
          <w:tcPr>
            <w:tcW w:w="742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Item 2. Unregistered Sales of Equity Securities and Use of Proceeds</w:t>
            </w:r>
          </w:p>
        </w:tc>
        <w:tc>
          <w:tcPr>
            <w:tcW w:w="44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Item 3. Defaults Upon Senior Securities</w:t>
            </w:r>
          </w:p>
        </w:tc>
        <w:tc>
          <w:tcPr>
            <w:tcW w:w="642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3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Item 4. Mine Safety Disclosures</w:t>
            </w:r>
          </w:p>
        </w:tc>
        <w:tc>
          <w:tcPr>
            <w:tcW w:w="698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9300" w:type="dxa"/>
            <w:vAlign w:val="bottom"/>
            <w:gridSpan w:val="23"/>
          </w:tcPr>
          <w:p>
            <w:pPr>
              <w:spacing w:after="0"/>
              <w:rPr>
                <w:sz w:val="20"/>
                <w:szCs w:val="20"/>
                <w:color w:val="auto"/>
              </w:rPr>
            </w:pPr>
            <w:r>
              <w:rPr>
                <w:rFonts w:ascii="Arial" w:cs="Arial" w:eastAsia="Arial" w:hAnsi="Arial"/>
                <w:sz w:val="18"/>
                <w:szCs w:val="18"/>
                <w:color w:val="0000EE"/>
              </w:rPr>
              <w:t>Item 5. 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8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Item 6. Exhibits</w:t>
            </w:r>
          </w:p>
        </w:tc>
        <w:tc>
          <w:tcPr>
            <w:tcW w:w="744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7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Signatures</w:t>
            </w:r>
          </w:p>
        </w:tc>
        <w:tc>
          <w:tcPr>
            <w:tcW w:w="380" w:type="dxa"/>
            <w:vAlign w:val="bottom"/>
            <w:tcBorders>
              <w:top w:val="single" w:sz="8" w:color="0000EE"/>
            </w:tcBorders>
          </w:tcPr>
          <w:p>
            <w:pPr>
              <w:spacing w:after="0"/>
              <w:rPr>
                <w:sz w:val="24"/>
                <w:szCs w:val="24"/>
                <w:color w:val="auto"/>
              </w:rPr>
            </w:pPr>
          </w:p>
        </w:tc>
        <w:tc>
          <w:tcPr>
            <w:tcW w:w="8160" w:type="dxa"/>
            <w:vAlign w:val="bottom"/>
            <w:gridSpan w:val="2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“could,”“estimate,” “expect,” “intend,” “may,” “plan,” “potential,” “predict,” “project,” “seek,” “should,” “target,” “will,” “would,” or the negative of these words or other comparable terminology. These forward-looking statements include statements related to our financial performance including anticipated benefits and costs associated with our plan of restructuring announced in August 2022, and are subject to a number of risks, uncertainties and assumptions, including those further described elsewhere in this Quarterly Report on Form 10-Q and in “Part I, Item 1A, Risk Factors” of our Annual Report on Form 10-K for the year ended December 31, 2022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67"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Readers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Readers should read this Quarterly Report on Form 10-Q and the documents that we reference herein and have filed with the SEC as exhibits to this Quarterly Report on Form 10-Q with the understanding that our actual future results, levels of activity, performance, and events and circumstances may be materially different from what we expect.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and its subsidiaries. “Quanterix,” “Simoa,” “Simoa HD-X,”“Simoa HD-1,” “SR-X,” “SP-X”, “HD-X”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60"/>
          </w:cols>
          <w:pgMar w:left="900" w:top="517" w:right="1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329,354</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338,740</w:t>
            </w:r>
          </w:p>
        </w:tc>
      </w:tr>
      <w:tr>
        <w:trPr>
          <w:trHeight w:val="193"/>
        </w:trPr>
        <w:tc>
          <w:tcPr>
            <w:tcW w:w="5680" w:type="dxa"/>
            <w:vAlign w:val="bottom"/>
          </w:tcPr>
          <w:p>
            <w:pPr>
              <w:ind w:left="120"/>
              <w:spacing w:after="0"/>
              <w:rPr>
                <w:sz w:val="20"/>
                <w:szCs w:val="20"/>
                <w:color w:val="auto"/>
              </w:rPr>
            </w:pPr>
            <w:r>
              <w:rPr>
                <w:rFonts w:ascii="Arial" w:cs="Arial" w:eastAsia="Arial" w:hAnsi="Arial"/>
                <w:sz w:val="16"/>
                <w:szCs w:val="16"/>
                <w:color w:val="auto"/>
                <w:w w:val="93"/>
              </w:rPr>
              <w:t>Accounts receivable (less allowance for credit losses of $222 and $118 as of March</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9"/>
        </w:trPr>
        <w:tc>
          <w:tcPr>
            <w:tcW w:w="5680" w:type="dxa"/>
            <w:vAlign w:val="bottom"/>
          </w:tcPr>
          <w:p>
            <w:pPr>
              <w:ind w:left="120"/>
              <w:spacing w:after="0"/>
              <w:rPr>
                <w:sz w:val="20"/>
                <w:szCs w:val="20"/>
                <w:color w:val="auto"/>
              </w:rPr>
            </w:pPr>
            <w:r>
              <w:rPr>
                <w:rFonts w:ascii="Arial" w:cs="Arial" w:eastAsia="Arial" w:hAnsi="Arial"/>
                <w:sz w:val="16"/>
                <w:szCs w:val="16"/>
                <w:color w:val="auto"/>
              </w:rPr>
              <w:t>31, 2023 and December 31, 2022, respectively)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22,546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19,017</w:t>
            </w:r>
          </w:p>
        </w:tc>
      </w:tr>
      <w:tr>
        <w:trPr>
          <w:trHeight w:val="206"/>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r>
      <w:tr>
        <w:trPr>
          <w:trHeight w:val="203"/>
        </w:trPr>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6,860</w:t>
            </w:r>
          </w:p>
        </w:tc>
      </w:tr>
      <w:tr>
        <w:trPr>
          <w:trHeight w:val="196"/>
        </w:trPr>
        <w:tc>
          <w:tcPr>
            <w:tcW w:w="5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381,403</w:t>
            </w: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2,920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2,597</w:t>
            </w: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20,162</w:t>
            </w: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7,516</w:t>
            </w: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Right-of-use assets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20,891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21,223</w:t>
            </w: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r>
      <w:tr>
        <w:trPr>
          <w:trHeight w:val="236"/>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427,313</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434,199</w:t>
            </w:r>
          </w:p>
        </w:tc>
      </w:tr>
      <w:tr>
        <w:trPr>
          <w:trHeight w:val="183"/>
        </w:trPr>
        <w:tc>
          <w:tcPr>
            <w:tcW w:w="56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Liabilities and stockholders’ equity</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4,880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10,658</w:t>
            </w: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accrued expenses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10,682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8,644</w:t>
            </w: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 lease liabilities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r>
      <w:tr>
        <w:trPr>
          <w:trHeight w:val="203"/>
        </w:trPr>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196"/>
        </w:trPr>
        <w:tc>
          <w:tcPr>
            <w:tcW w:w="5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30,958</w:t>
            </w:r>
          </w:p>
        </w:tc>
      </w:tr>
      <w:tr>
        <w:trPr>
          <w:trHeight w:val="203"/>
        </w:trPr>
        <w:tc>
          <w:tcPr>
            <w:tcW w:w="568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03"/>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41,417</w:t>
            </w:r>
          </w:p>
        </w:tc>
      </w:tr>
      <w:tr>
        <w:trPr>
          <w:trHeight w:val="203"/>
        </w:trPr>
        <w:tc>
          <w:tcPr>
            <w:tcW w:w="5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r>
      <w:tr>
        <w:trPr>
          <w:trHeight w:val="196"/>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75,259</w:t>
            </w:r>
          </w:p>
        </w:tc>
      </w:tr>
      <w:tr>
        <w:trPr>
          <w:trHeight w:val="190"/>
        </w:trPr>
        <w:tc>
          <w:tcPr>
            <w:tcW w:w="56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Common stock, $0.001 par value: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Authorized shares: 120,000,000 at March 31, 2023 and December 31, 2022,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0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0"/>
              </w:rPr>
              <w:t>respectively; Issued and outstanding: 37,423,981 shares and 37,279,994 shares at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2"/>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March 31, 2023 and December 31, 2022, respectively</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2"/>
        </w:trPr>
        <w:tc>
          <w:tcPr>
            <w:tcW w:w="56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768,141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763,688</w:t>
            </w: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w:t>
            </w:r>
          </w:p>
        </w:tc>
      </w:tr>
      <w:tr>
        <w:trPr>
          <w:trHeight w:val="203"/>
        </w:trPr>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(408,265)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(402,162)</w:t>
            </w:r>
          </w:p>
        </w:tc>
      </w:tr>
      <w:tr>
        <w:trPr>
          <w:trHeight w:val="196"/>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358,940</w:t>
            </w:r>
          </w:p>
        </w:tc>
      </w:tr>
      <w:tr>
        <w:trPr>
          <w:trHeight w:val="196"/>
        </w:trPr>
        <w:tc>
          <w:tcPr>
            <w:tcW w:w="56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427,313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434,199</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Product revenue</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19,287</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20,656</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Service and other revenue</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8,579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8,810</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Grant revenue</w:t>
            </w: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28,456</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20"/>
                <w:szCs w:val="20"/>
                <w:color w:val="auto"/>
              </w:rPr>
            </w:pPr>
            <w:r>
              <w:rPr>
                <w:rFonts w:ascii="Arial" w:cs="Arial" w:eastAsia="Arial" w:hAnsi="Arial"/>
                <w:sz w:val="16"/>
                <w:szCs w:val="16"/>
                <w:color w:val="auto"/>
              </w:rPr>
              <w:t>Costs of goods sold:</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product revenue</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Cost of service and other revenue</w:t>
            </w: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4,497</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Total costs of goods sold and services</w:t>
            </w:r>
          </w:p>
        </w:tc>
        <w:tc>
          <w:tcPr>
            <w:tcW w:w="9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14,993</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16,926</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4,720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7,034</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20,883</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25,712</w:t>
            </w:r>
          </w:p>
        </w:tc>
        <w:tc>
          <w:tcPr>
            <w:tcW w:w="0" w:type="dxa"/>
            <w:vAlign w:val="bottom"/>
          </w:tcPr>
          <w:p>
            <w:pPr>
              <w:spacing w:after="0"/>
              <w:rPr>
                <w:sz w:val="1"/>
                <w:szCs w:val="1"/>
                <w:color w:val="auto"/>
              </w:rPr>
            </w:pPr>
          </w:p>
        </w:tc>
      </w:tr>
      <w:tr>
        <w:trPr>
          <w:trHeight w:val="203"/>
        </w:trPr>
        <w:tc>
          <w:tcPr>
            <w:tcW w:w="5160" w:type="dxa"/>
            <w:vAlign w:val="bottom"/>
          </w:tcPr>
          <w:p>
            <w:pPr>
              <w:ind w:left="120"/>
              <w:spacing w:after="0"/>
              <w:rPr>
                <w:sz w:val="20"/>
                <w:szCs w:val="20"/>
                <w:color w:val="auto"/>
              </w:rPr>
            </w:pPr>
            <w:r>
              <w:rPr>
                <w:rFonts w:ascii="Arial" w:cs="Arial" w:eastAsia="Arial" w:hAnsi="Arial"/>
                <w:sz w:val="16"/>
                <w:szCs w:val="16"/>
                <w:color w:val="auto"/>
              </w:rPr>
              <w:t>Other lease costs</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Restructuring</w:t>
            </w:r>
          </w:p>
        </w:tc>
        <w:tc>
          <w:tcPr>
            <w:tcW w:w="9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26,346</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(9,420)</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(18,187)</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Interest income (expense), net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9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(5,963)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(18,352)</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9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w:t>
            </w:r>
          </w:p>
        </w:tc>
        <w:tc>
          <w:tcPr>
            <w:tcW w:w="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(18,153)</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per share, basic and diluted</w:t>
            </w: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Weighted-average common shares outstanding, basic and diluted</w:t>
            </w:r>
          </w:p>
        </w:tc>
        <w:tc>
          <w:tcPr>
            <w:tcW w:w="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37,326,559</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36,850,894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comprehensive loss:</w:t>
      </w:r>
    </w:p>
    <w:p>
      <w:pPr>
        <w:spacing w:after="0" w:line="28" w:lineRule="exact"/>
        <w:rPr>
          <w:sz w:val="20"/>
          <w:szCs w:val="20"/>
          <w:color w:val="auto"/>
        </w:rPr>
      </w:pPr>
    </w:p>
    <w:p>
      <w:pPr>
        <w:ind w:left="120" w:firstLine="216"/>
        <w:spacing w:after="0" w:line="362" w:lineRule="auto"/>
        <w:rPr>
          <w:sz w:val="20"/>
          <w:szCs w:val="20"/>
          <w:color w:val="auto"/>
        </w:rPr>
      </w:pPr>
      <w:r>
        <w:rPr>
          <w:rFonts w:ascii="Arial" w:cs="Arial" w:eastAsia="Arial" w:hAnsi="Arial"/>
          <w:sz w:val="14"/>
          <w:szCs w:val="14"/>
          <w:color w:val="auto"/>
        </w:rPr>
        <w:t>Foreign currency translation adjustment Total other comprehensive loss</w:t>
      </w:r>
    </w:p>
    <w:p>
      <w:pPr>
        <w:spacing w:after="0"/>
        <w:rPr>
          <w:sz w:val="20"/>
          <w:szCs w:val="20"/>
          <w:color w:val="auto"/>
        </w:rPr>
      </w:pPr>
      <w:r>
        <w:rPr>
          <w:rFonts w:ascii="Arial" w:cs="Arial" w:eastAsia="Arial" w:hAnsi="Arial"/>
          <w:sz w:val="16"/>
          <w:szCs w:val="16"/>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66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266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44" w:lineRule="exact"/>
        <w:rPr>
          <w:sz w:val="20"/>
          <w:szCs w:val="20"/>
          <w:color w:val="auto"/>
        </w:rPr>
      </w:pPr>
    </w:p>
    <w:p>
      <w:pPr>
        <w:jc w:val="center"/>
        <w:ind w:right="2660"/>
        <w:spacing w:after="0"/>
        <w:rPr>
          <w:sz w:val="20"/>
          <w:szCs w:val="20"/>
          <w:color w:val="auto"/>
        </w:rPr>
      </w:pPr>
      <w:r>
        <w:rPr>
          <w:rFonts w:ascii="Arial" w:cs="Arial" w:eastAsia="Arial" w:hAnsi="Arial"/>
          <w:sz w:val="18"/>
          <w:szCs w:val="18"/>
          <w:b w:val="1"/>
          <w:bCs w:val="1"/>
          <w:color w:val="auto"/>
        </w:rPr>
        <w:t>(amounts in thousands)</w:t>
      </w:r>
    </w:p>
    <w:p>
      <w:pPr>
        <w:spacing w:after="0" w:line="2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6350</wp:posOffset>
            </wp:positionV>
            <wp:extent cx="2854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5"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2022</w:t>
            </w:r>
          </w:p>
        </w:tc>
      </w:tr>
      <w:tr>
        <w:trPr>
          <w:trHeight w:val="224"/>
        </w:trPr>
        <w:tc>
          <w:tcPr>
            <w:tcW w:w="2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(6,103)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(18,153)</w:t>
            </w:r>
          </w:p>
        </w:tc>
      </w:tr>
      <w:tr>
        <w:trPr>
          <w:trHeight w:val="418"/>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r>
      <w:tr>
        <w:trPr>
          <w:trHeight w:val="210"/>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r>
      <w:tr>
        <w:trPr>
          <w:trHeight w:val="209"/>
        </w:trPr>
        <w:tc>
          <w:tcPr>
            <w:tcW w:w="20" w:type="dxa"/>
            <w:vAlign w:val="bottom"/>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(19,350)</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-736600</wp:posOffset>
            </wp:positionV>
            <wp:extent cx="618045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-454025</wp:posOffset>
            </wp:positionV>
            <wp:extent cx="618045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-170815</wp:posOffset>
            </wp:positionV>
            <wp:extent cx="618045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04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6400"/>
          </w:cols>
          <w:pgMar w:left="900" w:top="517" w:right="1259" w:bottom="1440" w:gutter="0" w:footer="0" w:header="0"/>
        </w:sectPr>
      </w:pPr>
    </w:p>
    <w:p>
      <w:pPr>
        <w:spacing w:after="0" w:line="218"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Net loss</w:t>
            </w:r>
          </w:p>
        </w:tc>
        <w:tc>
          <w:tcPr>
            <w:tcW w:w="7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(6,103)</w:t>
            </w:r>
          </w:p>
        </w:tc>
        <w:tc>
          <w:tcPr>
            <w:tcW w:w="140" w:type="dxa"/>
            <w:vAlign w:val="bottom"/>
          </w:tcPr>
          <w:p>
            <w:pPr>
              <w:spacing w:after="0"/>
              <w:rPr>
                <w:sz w:val="17"/>
                <w:szCs w:val="17"/>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Depreciation and amortization expense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Credit (income) loss expense on accounts receivable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Unrealized losses (gains) on foreign currency transactions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operating lease expense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taxes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Prepaid expenses and other assets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Arial" w:cs="Arial" w:eastAsia="Arial" w:hAnsi="Arial"/>
                <w:sz w:val="16"/>
                <w:szCs w:val="16"/>
                <w:color w:val="auto"/>
              </w:rPr>
              <w:t>Other non-current assets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Arial" w:cs="Arial" w:eastAsia="Arial" w:hAnsi="Arial"/>
                <w:sz w:val="16"/>
                <w:szCs w:val="16"/>
                <w:color w:val="auto"/>
                <w:w w:val="99"/>
              </w:rPr>
              <w:t>Accrued compensation and benefits, other accrued expenses and other current liabilities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revenue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non-current liabilities</w:t>
            </w: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Purchases of property and equipment</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RADx grant on assets purchased</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Proceeds from stock options exercised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ESPP purchase</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Payments for employee taxes on units withheld</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6"/>
        </w:trPr>
        <w:tc>
          <w:tcPr>
            <w:tcW w:w="6500" w:type="dxa"/>
            <w:vAlign w:val="bottom"/>
            <w:gridSpan w:val="2"/>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(9,087)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foreign currency exchange rate on cash</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341,337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332,274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376,894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paid for income taxes</w:t>
            </w:r>
          </w:p>
        </w:tc>
        <w:tc>
          <w:tcPr>
            <w:tcW w:w="7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Noncash transactions: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w w:val="99"/>
              </w:rPr>
              <w:t>Purchases of property and equipment included in accounts payable and accrued expenses</w:t>
            </w:r>
          </w:p>
        </w:tc>
        <w:tc>
          <w:tcPr>
            <w:tcW w:w="7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21"/>
                <w:szCs w:val="21"/>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Right-of-use asset obtained in exchange for lease liabilities</w:t>
            </w: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Reconciliation of cash, cash equivalents and restricted cash:</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7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329,354</w:t>
            </w:r>
          </w:p>
        </w:tc>
        <w:tc>
          <w:tcPr>
            <w:tcW w:w="140" w:type="dxa"/>
            <w:vAlign w:val="bottom"/>
          </w:tcPr>
          <w:p>
            <w:pPr>
              <w:spacing w:after="0"/>
              <w:rPr>
                <w:sz w:val="17"/>
                <w:szCs w:val="17"/>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374,317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5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332,274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Quanterix Corporation</w:t>
      </w:r>
    </w:p>
    <w:p>
      <w:pPr>
        <w:spacing w:after="0" w:line="26"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20" w:type="dxa"/>
            <w:vAlign w:val="bottom"/>
            <w:tcBorders>
              <w:top w:val="single" w:sz="8" w:color="auto"/>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Accumulated other</w:t>
            </w: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5"/>
              </w:rPr>
              <w:t>paid-in 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2022</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37,279,994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763,688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(402,162)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358,940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Issuance of capital shares: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−Restricted units converted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67,851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−ESPP stock purchase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on restricted units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3,902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translation adjustment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(6,103)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2023</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37,423,981</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768,141</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(2,581)</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(408,265)</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2021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36,768,035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745,936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w:t>
            </w:r>
          </w:p>
        </w:tc>
        <w:tc>
          <w:tcPr>
            <w:tcW w:w="3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(305,462)</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Issuance of capital shares: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60,126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−Restricted units converted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49,208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−ESPP stock purchase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(18,153)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(18,153)</w:t>
            </w: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Arial" w:cs="Arial" w:eastAsia="Arial" w:hAnsi="Arial"/>
                <w:sz w:val="14"/>
                <w:szCs w:val="14"/>
                <w:color w:val="auto"/>
              </w:rPr>
              <w:t>Balance at March 31, 2022</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36,899,156</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750,742</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(756)</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(323,615)</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43" w:lineRule="exact"/>
        <w:rPr>
          <w:sz w:val="20"/>
          <w:szCs w:val="20"/>
          <w:color w:val="auto"/>
        </w:rPr>
      </w:pPr>
    </w:p>
    <w:p>
      <w:pPr>
        <w:ind w:left="100" w:right="119" w:firstLine="583"/>
        <w:spacing w:after="0" w:line="299" w:lineRule="auto"/>
        <w:rPr>
          <w:sz w:val="20"/>
          <w:szCs w:val="20"/>
          <w:color w:val="auto"/>
        </w:rPr>
      </w:pPr>
      <w:r>
        <w:rPr>
          <w:rFonts w:ascii="Arial" w:cs="Arial" w:eastAsia="Arial" w:hAnsi="Arial"/>
          <w:sz w:val="17"/>
          <w:szCs w:val="17"/>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 Company is currently focusing on protein detection, but the Company’s Simoa platforms have also demonstrated applicability across other testing applications, including detection of nucleic acids and small molecules.</w:t>
      </w:r>
    </w:p>
    <w:p>
      <w:pPr>
        <w:spacing w:after="0" w:line="117" w:lineRule="exact"/>
        <w:rPr>
          <w:sz w:val="20"/>
          <w:szCs w:val="20"/>
          <w:color w:val="auto"/>
        </w:rPr>
      </w:pPr>
    </w:p>
    <w:p>
      <w:pPr>
        <w:ind w:left="100" w:right="199" w:firstLine="583"/>
        <w:spacing w:after="0" w:line="300" w:lineRule="auto"/>
        <w:rPr>
          <w:sz w:val="20"/>
          <w:szCs w:val="20"/>
          <w:color w:val="auto"/>
        </w:rPr>
      </w:pPr>
      <w:r>
        <w:rPr>
          <w:rFonts w:ascii="Arial" w:cs="Arial" w:eastAsia="Arial" w:hAnsi="Arial"/>
          <w:sz w:val="16"/>
          <w:szCs w:val="16"/>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2017 with a more compact footprint than the Simoa HD-1 and less automation designed for lower volume requirements while still allowing multiplexing and custom assay capability. In 2019, the Company launched its third instrument (SP-X) on the new Simoa planar array platform and the Simoa HD-X, an upgraded version of the Simoa HD-1 replacing the HD-1. The HD-X has been designed to deliver productivity and operational efficiency improvements, as well as greater user flexibility.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16"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The Company’s wholly owned subsidiary UmanDiagnostics AB (Uman), a Swedish company located in Umeå, Sweden, supplies neurofilament light (Nf-L) antibodies and ELISA kits, which are used by researchers and biopharmaceutical and diagnostics companies world-wide in the detection of Nf-L to advance the development of therapeutics and diagnostics for neurodegenerative conditions.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accompanying unaudited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and have been prepared in accordance with United States generally accepted accounting principles (U.S. GAAP) for interim financial information and with the instructions to Form 10 Q and Article 10 of Regulation S-X. Accordingly, these unaudited consolidated financial statements do not include all of the information and notes required by U.S. GAAP for complete financial statements. These unaudited consolidated financial statements and notes thereto should be read in conjunction with the audited consolidated financial statements and footnotes thereto included in Item 8 of our most recent Annual Report on Form 10-K for the year ended December 31,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Our consolidated financial statements and the related notes included elsewhere in this Quarterly Report on Form 10-Q are prepared in accordance with accounting principles generally accepted in the United States (U.S.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308" w:lineRule="auto"/>
        <w:rPr>
          <w:sz w:val="20"/>
          <w:szCs w:val="20"/>
          <w:color w:val="auto"/>
        </w:rPr>
      </w:pPr>
      <w:r>
        <w:rPr>
          <w:rFonts w:ascii="Arial" w:cs="Arial" w:eastAsia="Arial" w:hAnsi="Arial"/>
          <w:sz w:val="17"/>
          <w:szCs w:val="17"/>
          <w:color w:val="auto"/>
        </w:rPr>
        <w:t>extent that there are material differences between these estimates and actual results, our future financial statement presentation, financial condition, results of operations and cash flows will be affected.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2022, included in the Company’s Annual Report on Form 10-K filed with the SEC on March 6, 2023. There have been no material changes in the Company’s significant accounting policies during the three months ended March 31,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26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Periodically, new accounting pronouncements are issued by the FASB or other standard setting bodies. Recently issued standards typically do not require adoption until a future effective date. Prior to their effective date, we evaluate the pronouncements to determine the potential effects of adoption on our accompanying unaudited consolidated financial statements. During the first three months of 2023, no new accounting pronouncements issued or effective in the period had or are expected to have a material impact on our accompanying unaudited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Company recognizes revenue when a customer obtains control of a promised good or service. The amount of revenue recognized reflects consideration that the Company expects to be entitled to receive in exchange for these goods and services. Any related incentives and taxes collected from customers are subsequently remitted to governmental authorities.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generally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from service-type warranties are recognized ratably over the contract service period. For contract research services recognized over time, the Company uses the output method to measure the progress toward the complete satisfaction of the performance obligations. Revenues from other services are immaterial.</w:t>
      </w:r>
    </w:p>
    <w:p>
      <w:pPr>
        <w:spacing w:after="0" w:line="18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During the first quarter of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In connection with the Lilly Collaboration Agreement, the Company received a non-refundable up-front payment of $5.0 million during the first quarter of 2022, which has been recognized over a one-year period. In addition, under the Statement of Work, the Company receives $1.5 million per calendar quarter during 2022, beginning with the first quarter of 2022. The Statement of Work automatically renews on a quarterly basis unless Lilly provides termination notice under the Lilly Collaboration Agreement.</w:t>
      </w:r>
    </w:p>
    <w:p>
      <w:pPr>
        <w:spacing w:after="0" w:line="196"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 xml:space="preserve">Concurrent with the execution of the Lilly Collaboration Agreement, the Company entered into a Technology License Agreement (the Lilly License) under which Lilly granted to the Company a non-exclusive license to Lilly’s proprietary pTau217 antibody technology for potential near-term use in research use only products and services and future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diagnostics applications within the field of Alzheimer’s disease. In consideration of the license, the Company paid</w:t>
      </w:r>
      <w:r>
        <w:rPr>
          <w:rFonts w:ascii="Arial" w:cs="Arial" w:eastAsia="Arial" w:hAnsi="Arial"/>
          <w:sz w:val="17"/>
          <w:szCs w:val="17"/>
          <w:i w:val="1"/>
          <w:iCs w:val="1"/>
          <w:color w:val="auto"/>
        </w:rPr>
        <w:t xml:space="preserve"> </w:t>
      </w:r>
      <w:r>
        <w:rPr>
          <w:rFonts w:ascii="Arial" w:cs="Arial" w:eastAsia="Arial" w:hAnsi="Arial"/>
          <w:sz w:val="17"/>
          <w:szCs w:val="17"/>
          <w:color w:val="auto"/>
        </w:rPr>
        <w:t>an upfront fee, is required to make milestone payments based on the achievement of predetermined regulatory and commercial events, and will pay a royalty on net sales of licensed products.</w:t>
      </w:r>
    </w:p>
    <w:p>
      <w:pPr>
        <w:spacing w:after="0" w:line="178"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During the three months ended March 31, 2023 and 2022, the Company recognized $1.5 million and $2.7 million of revenue from the Lilly Collaboration Agreement,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66"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tables disaggregate the Company’s revenue from contracts with customers by revenue type (in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ind w:right="24"/>
              <w:spacing w:after="0"/>
              <w:rPr>
                <w:sz w:val="20"/>
                <w:szCs w:val="20"/>
                <w:color w:val="auto"/>
              </w:rPr>
            </w:pPr>
            <w:r>
              <w:rPr>
                <w:rFonts w:ascii="Arial" w:cs="Arial" w:eastAsia="Arial" w:hAnsi="Arial"/>
                <w:sz w:val="13"/>
                <w:szCs w:val="13"/>
                <w:b w:val="1"/>
                <w:bCs w:val="1"/>
                <w:color w:val="auto"/>
              </w:rPr>
              <w:t>Three Months Ended March 31, 2023</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44"/>
              <w:spacing w:after="0"/>
              <w:rPr>
                <w:sz w:val="20"/>
                <w:szCs w:val="20"/>
                <w:color w:val="auto"/>
              </w:rPr>
            </w:pPr>
            <w:r>
              <w:rPr>
                <w:rFonts w:ascii="Arial" w:cs="Arial" w:eastAsia="Arial" w:hAnsi="Arial"/>
                <w:sz w:val="13"/>
                <w:szCs w:val="13"/>
                <w:b w:val="1"/>
                <w:bCs w:val="1"/>
                <w:color w:val="auto"/>
              </w:rPr>
              <w:t>Three Months Ended March 31, 2022</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95"/>
              </w:rPr>
              <w:t>North America</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3"/>
                <w:szCs w:val="13"/>
                <w:b w:val="1"/>
                <w:bCs w:val="1"/>
                <w:color w:val="auto"/>
              </w:rPr>
              <w:t>EMEA</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5"/>
              </w:rPr>
              <w:t>Asia Pacific</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North America</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3"/>
                <w:szCs w:val="13"/>
                <w:b w:val="1"/>
                <w:bCs w:val="1"/>
                <w:color w:val="auto"/>
              </w:rPr>
              <w:t>EMEA</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8"/>
              </w:rPr>
              <w:t>Asia Pacific</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Product revenues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ind w:left="100"/>
              <w:spacing w:after="0"/>
              <w:rPr>
                <w:sz w:val="20"/>
                <w:szCs w:val="20"/>
                <w:color w:val="auto"/>
              </w:rPr>
            </w:pPr>
            <w:r>
              <w:rPr>
                <w:rFonts w:ascii="Arial" w:cs="Arial" w:eastAsia="Arial" w:hAnsi="Arial"/>
                <w:sz w:val="16"/>
                <w:szCs w:val="16"/>
                <w:color w:val="auto"/>
              </w:rPr>
              <w:t>Instruments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1,135</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5,260</w:t>
            </w:r>
          </w:p>
        </w:tc>
        <w:tc>
          <w:tcPr>
            <w:tcW w:w="3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2,165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2,046</w:t>
            </w:r>
          </w:p>
        </w:tc>
        <w:tc>
          <w:tcPr>
            <w:tcW w:w="36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2,011</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6,222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8"/>
              </w:rPr>
              <w:t>Consumable and other</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products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6"/>
                <w:szCs w:val="16"/>
                <w:color w:val="auto"/>
                <w:w w:val="96"/>
              </w:rPr>
              <w:t>Service and other revenues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Service-type</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warranties</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Pr>
          <w:p>
            <w:pPr>
              <w:ind w:left="100"/>
              <w:spacing w:after="0"/>
              <w:rPr>
                <w:sz w:val="20"/>
                <w:szCs w:val="20"/>
                <w:color w:val="auto"/>
              </w:rPr>
            </w:pPr>
            <w:r>
              <w:rPr>
                <w:rFonts w:ascii="Arial" w:cs="Arial" w:eastAsia="Arial" w:hAnsi="Arial"/>
                <w:sz w:val="16"/>
                <w:szCs w:val="16"/>
                <w:color w:val="auto"/>
              </w:rPr>
              <w:t>Research services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services</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80" w:type="dxa"/>
            <w:vAlign w:val="bottom"/>
            <w:gridSpan w:val="4"/>
          </w:tcPr>
          <w:p>
            <w:pPr>
              <w:spacing w:after="0"/>
              <w:rPr>
                <w:sz w:val="20"/>
                <w:szCs w:val="20"/>
                <w:color w:val="auto"/>
              </w:rPr>
            </w:pPr>
            <w:r>
              <w:rPr>
                <w:rFonts w:ascii="Arial" w:cs="Arial" w:eastAsia="Arial" w:hAnsi="Arial"/>
                <w:sz w:val="16"/>
                <w:szCs w:val="16"/>
                <w:color w:val="auto"/>
              </w:rPr>
              <w:t>Collaboration and license revenue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Collaboration and</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license revenue</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Grant revenue</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tcPr>
          <w:p>
            <w:pPr>
              <w:ind w:left="100"/>
              <w:spacing w:after="0"/>
              <w:rPr>
                <w:sz w:val="20"/>
                <w:szCs w:val="20"/>
                <w:color w:val="auto"/>
              </w:rPr>
            </w:pPr>
            <w:r>
              <w:rPr>
                <w:rFonts w:ascii="Arial" w:cs="Arial" w:eastAsia="Arial" w:hAnsi="Arial"/>
                <w:sz w:val="16"/>
                <w:szCs w:val="16"/>
                <w:color w:val="auto"/>
              </w:rPr>
              <w:t>Grant revenue</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222</w:t>
            </w:r>
          </w:p>
        </w:tc>
        <w:tc>
          <w:tcPr>
            <w:tcW w:w="26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222</w:t>
            </w:r>
          </w:p>
        </w:tc>
        <w:tc>
          <w:tcPr>
            <w:tcW w:w="3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For the three months ended March 31, 2023, one customer accounted for more than 10% of the Company’s total revenue at 11%. At March 31, 2023, no customer individually accounted for more than 10% of the Company’s gross accounts receivable.</w:t>
      </w:r>
    </w:p>
    <w:p>
      <w:pPr>
        <w:spacing w:after="0" w:line="18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 xml:space="preserve">Variable consideration in the Company’s contracts primarily relates to (i) sales- and usage-based royalties related to the license of intellectual property in collaboration and license contracts and (ii) certain non-fixed fee research services contracts. Accounting Standard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 revenue at the later of when the sale or usage occurs and the satisfaction or partial satisfaction of the performance obligation to which the royalty has been allocated.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of prior year</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r>
      <w:tr>
        <w:trPr>
          <w:trHeight w:val="216"/>
        </w:trPr>
        <w:tc>
          <w:tcPr>
            <w:tcW w:w="3800" w:type="dxa"/>
            <w:vAlign w:val="bottom"/>
          </w:tcPr>
          <w:p>
            <w:pPr>
              <w:ind w:left="140"/>
              <w:spacing w:after="0"/>
              <w:rPr>
                <w:sz w:val="20"/>
                <w:szCs w:val="20"/>
                <w:color w:val="auto"/>
              </w:rPr>
            </w:pPr>
            <w:r>
              <w:rPr>
                <w:rFonts w:ascii="Arial" w:cs="Arial" w:eastAsia="Arial" w:hAnsi="Arial"/>
                <w:sz w:val="18"/>
                <w:szCs w:val="18"/>
                <w:color w:val="auto"/>
              </w:rPr>
              <w:t>Deferral of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Recognition of deferred revenue</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12,101</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10,416</w:t>
            </w:r>
          </w:p>
        </w:tc>
      </w:tr>
      <w:tr>
        <w:trPr>
          <w:trHeight w:val="20"/>
        </w:trPr>
        <w:tc>
          <w:tcPr>
            <w:tcW w:w="3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As of March 31, 2023, of the performance obligations not yet satisfied or partially satisfied, $10.7 million is expected to be recognized as revenue in the next 12 months, with the remainder to be recognized within the 24 months thereafter. The $10.7 million at March 31, 2023 principally consists of amounts billed for undelivered services related to initial and extended service-type warranties and research services, as well as $0.5 million related to undelivered licenses of intellectual property for a diagnostics company (see Note 5).</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Company’s sales commissions are generally based on bookings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of prior year</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Deferral of costs to obtain a contract</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Recognition of costs to obtain a contract</w:t>
            </w:r>
          </w:p>
        </w:tc>
        <w:tc>
          <w:tcPr>
            <w:tcW w:w="1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0"/>
        </w:trPr>
        <w:tc>
          <w:tcPr>
            <w:tcW w:w="3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March 31, 2023 and 2022, respectively.</w:t>
      </w:r>
    </w:p>
    <w:p>
      <w:pPr>
        <w:spacing w:after="0" w:line="176"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The Company recognizes grant revenue as the Company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7"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 xml:space="preserve">Accounting for grants does not fall under ASC 606, as the grantor will not benefit directly from the Company’s expansion or product development. As there is no authoritative guidance under U.S. GAAP on accounting for grants to for-profit business entities from government entities, the Company has accounted for grants obtained with the National Institute of Health (NIH) under its Rapid Acceleration of Diagnostics (RADx) program by analogy to International Accounting Standards Topic 20, </w:t>
      </w:r>
      <w:r>
        <w:rPr>
          <w:rFonts w:ascii="Arial" w:cs="Arial" w:eastAsia="Arial" w:hAnsi="Arial"/>
          <w:sz w:val="18"/>
          <w:szCs w:val="18"/>
          <w:i w:val="1"/>
          <w:iCs w:val="1"/>
          <w:color w:val="auto"/>
        </w:rPr>
        <w:t>Accounting for Government Grants and Disclosure of Government Assistance</w:t>
      </w:r>
      <w:r>
        <w:rPr>
          <w:rFonts w:ascii="Arial" w:cs="Arial" w:eastAsia="Arial" w:hAnsi="Arial"/>
          <w:sz w:val="18"/>
          <w:szCs w:val="18"/>
          <w:color w:val="auto"/>
        </w:rPr>
        <w:t xml:space="preserve"> (IAS 20). The Company accounts for grants from the Alzheimer’s Drug Discovery Foundation (ADDF) under ASC Topic 958, </w:t>
      </w:r>
      <w:r>
        <w:rPr>
          <w:rFonts w:ascii="Arial" w:cs="Arial" w:eastAsia="Arial" w:hAnsi="Arial"/>
          <w:sz w:val="18"/>
          <w:szCs w:val="18"/>
          <w:i w:val="1"/>
          <w:iCs w:val="1"/>
          <w:color w:val="auto"/>
        </w:rPr>
        <w:t xml:space="preserve">Not-for-Profit Entities </w:t>
      </w:r>
      <w:r>
        <w:rPr>
          <w:rFonts w:ascii="Arial" w:cs="Arial" w:eastAsia="Arial" w:hAnsi="Arial"/>
          <w:sz w:val="18"/>
          <w:szCs w:val="18"/>
          <w:color w:val="auto"/>
        </w:rPr>
        <w:t>(ASC 958).</w:t>
      </w:r>
    </w:p>
    <w:p>
      <w:pPr>
        <w:spacing w:after="0" w:line="19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IAS 20, grants related to assets are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9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Under ASC 958, grants related to income are presented as part of the consolidated statements of operations, either separately or under a general heading. Both methods are acceptable under ASC 958. The Company has elected to record grants related to income separately on the consolidated statements of operations as grant revenue. The related expenses are recorded within operating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RADx Grant</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September 29, 2020, the Company entered into a contract with RADx (the RADx Grant), which had a total award value of $18.2 million and accelerated the continued development, scale-up, and deployment of the novel SARS-CoV-2 antigen detection test using the Company’s Simoa technology. The RADx Grant provided funding to expand assay kit manufacturing capacity and commercial deployment readiness. Release of the $18.2 million of funding under the RADx Grant was based on the achievement of certain milestones. Contract funding was subject to achievement of these pre-defined milestones and the contract period ran through September 2021, with one milestone extending to May 31, 2022. The Company has received the full $18.2 million under the RADx Grant and the Company has no future obligations under the RADx Grant.</w:t>
      </w:r>
    </w:p>
    <w:p>
      <w:pPr>
        <w:spacing w:after="0" w:line="192"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During both the three months ended March 31, 2023 and 2022, the Company recognized no grant revenue and incurred no research and development expense related to the RADx Grant.</w:t>
      </w:r>
    </w:p>
    <w:p>
      <w:pPr>
        <w:spacing w:after="0" w:line="17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RADx Grant contains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ADDF</w:t>
      </w:r>
    </w:p>
    <w:p>
      <w:pPr>
        <w:spacing w:after="0" w:line="225"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On March 24, 2022, the Company entered into a contract with the ADDF (the ADDF Grant). ADDF is a charitable venture philanthropy entity that has granted the Company funding in support of certain activities for the development of an in vitro diagnostic (IVD) test for early detection of Alzheimer's disease. The ADDF Grant, which has a total funding value of $2.3 million, restricts the Company’s use of the granted funds to be used solely for activities related to the Alzheimer’s diagnostic test development project. Contract funding is subject to achievement of pre-defined milestones and the contract period runs through June 2024. The Company recognizes revenue over time as the related services are performed. As of March 31, 2023, the Company had received the total funding value of $2.3 million under the ADDF Grant, after receiving the second payment in the amount of $1.0 million during the first quarter of 2023 upon submission of satisfactory scientific and financial progress reports to ADDF. At March 31, 2023 and December 31, 2022, the Company had $1.7 million and $0.7 million of deferred revenue related to the ADDF Grant, respectively. During the three months ended March 31, 2023, grant revenue recognized and research and development expense incurred related to the ADDF Grant were immaterial. No such activities occurred in the three months ended March 31, 2022.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NIH Grant</w:t>
      </w:r>
    </w:p>
    <w:p>
      <w:pPr>
        <w:spacing w:after="0" w:line="22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On September 21, 2022, the Company entered into a contract with National Institutes of Health (NIH) (the NIH Grant) with a total award value of $1.7 million. NIH is an agency of the U.S. Department of Health and Human Services. NIH has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w:t>
      </w:r>
    </w:p>
    <w:p>
      <w:pPr>
        <w:spacing w:after="0" w:line="176"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During the three months ended March 31, 2023, the Company recognized $0.2 million of revenue and incurred $0.1 million of expense related to NIH Grant. There was no revenue recognized or expense incurred related to the NIH Grant for the three months ended March 31, 2022.</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Allowance for credit losses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the Company’s analysis of customers’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Activity related to the allowance for credit losses was as follows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1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9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Arial" w:cs="Arial" w:eastAsia="Arial" w:hAnsi="Arial"/>
                <w:sz w:val="18"/>
                <w:szCs w:val="18"/>
                <w:color w:val="auto"/>
              </w:rPr>
              <w:t>Provision charges</w:t>
            </w:r>
          </w:p>
        </w:tc>
        <w:tc>
          <w:tcPr>
            <w:tcW w:w="1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 / recoveries collected</w:t>
            </w:r>
          </w:p>
        </w:tc>
        <w:tc>
          <w:tcPr>
            <w:tcW w:w="1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9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vMerge w:val="restart"/>
          </w:tcPr>
          <w:p>
            <w:pPr>
              <w:jc w:val="right"/>
              <w:ind w:right="719"/>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Collaboration and license arrangements</w:t>
      </w:r>
    </w:p>
    <w:p>
      <w:pPr>
        <w:spacing w:after="0" w:line="20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Abbott Laboratories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On September 29, 2020, the Company entered into a Non-Exclusive License Agreement (the Abbott License Agreement) with Abbott Laboratories (Abbott). Under the terms of the Abbott License Agreement, the Company granted Abbott a non-exclusive, worldwide, royalty-bearing license, without the right to sublicense, under the Company’s bead-based single molecule detection patents (Licensed Patents) in the field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Abbott agreed to pay the Company an initial license fee of $10.0 million in connection with the execution of the Abbott License Agreement, 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Abbott License Agreement includes customary representations and warranties, covenants and indemnification obligations for a transaction of this nature. The Abbott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92"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During the three months ended March 31, 2023 and 2022, the Company did not recognize any revenue under the Abbott License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are as follows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Significant other</w:t>
            </w:r>
          </w:p>
        </w:tc>
        <w:tc>
          <w:tcPr>
            <w:tcW w:w="20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53"/>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2023</w:t>
            </w:r>
          </w:p>
        </w:tc>
        <w:tc>
          <w:tcPr>
            <w:tcW w:w="38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3"/>
                <w:szCs w:val="13"/>
                <w:color w:val="auto"/>
              </w:rPr>
            </w:pPr>
          </w:p>
        </w:tc>
        <w:tc>
          <w:tcPr>
            <w:tcW w:w="14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observable</w:t>
            </w: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inputs (Level 2)</w:t>
            </w:r>
          </w:p>
        </w:tc>
        <w:tc>
          <w:tcPr>
            <w:tcW w:w="20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2"/>
              </w:rPr>
              <w:t>Cash equivalents - money market funds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309,266</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309,266</w:t>
            </w:r>
          </w:p>
        </w:tc>
        <w:tc>
          <w:tcPr>
            <w:tcW w:w="7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24"/>
                <w:szCs w:val="2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Significant other</w:t>
            </w:r>
          </w:p>
        </w:tc>
        <w:tc>
          <w:tcPr>
            <w:tcW w:w="200" w:type="dxa"/>
            <w:vAlign w:val="bottom"/>
          </w:tcPr>
          <w:p>
            <w:pPr>
              <w:spacing w:after="0"/>
              <w:rPr>
                <w:sz w:val="24"/>
                <w:szCs w:val="2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53"/>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3"/>
                <w:szCs w:val="13"/>
                <w:color w:val="auto"/>
              </w:rPr>
            </w:pPr>
          </w:p>
        </w:tc>
        <w:tc>
          <w:tcPr>
            <w:tcW w:w="14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observable</w:t>
            </w: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inputs (Level 2)</w:t>
            </w:r>
          </w:p>
        </w:tc>
        <w:tc>
          <w:tcPr>
            <w:tcW w:w="20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2"/>
              </w:rPr>
              <w:t>Cash equivalents - money market funds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306,097</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306,097</w:t>
            </w:r>
          </w:p>
        </w:tc>
        <w:tc>
          <w:tcPr>
            <w:tcW w:w="7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7. Inventory</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gridSpan w:val="4"/>
          </w:tcPr>
          <w:p>
            <w:pPr>
              <w:ind w:left="660"/>
              <w:spacing w:after="0"/>
              <w:rPr>
                <w:sz w:val="20"/>
                <w:szCs w:val="20"/>
                <w:color w:val="auto"/>
              </w:rPr>
            </w:pPr>
            <w:r>
              <w:rPr>
                <w:rFonts w:ascii="Arial" w:cs="Arial" w:eastAsia="Arial" w:hAnsi="Arial"/>
                <w:sz w:val="18"/>
                <w:szCs w:val="18"/>
                <w:color w:val="auto"/>
              </w:rPr>
              <w:t>Inventory consists of the following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4"/>
          </w:tcPr>
          <w:p>
            <w:pPr>
              <w:ind w:left="420"/>
              <w:spacing w:after="0"/>
              <w:rPr>
                <w:sz w:val="20"/>
                <w:szCs w:val="20"/>
                <w:color w:val="auto"/>
              </w:rPr>
            </w:pPr>
            <w:r>
              <w:rPr>
                <w:rFonts w:ascii="Arial" w:cs="Arial" w:eastAsia="Arial" w:hAnsi="Arial"/>
                <w:sz w:val="14"/>
                <w:szCs w:val="14"/>
                <w:b w:val="1"/>
                <w:bCs w:val="1"/>
                <w:color w:val="auto"/>
              </w:rPr>
              <w:t>March 31, 2023</w:t>
            </w:r>
          </w:p>
        </w:tc>
        <w:tc>
          <w:tcPr>
            <w:tcW w:w="204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4,741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0"/>
        </w:trPr>
        <w:tc>
          <w:tcPr>
            <w:tcW w:w="3160" w:type="dxa"/>
            <w:vAlign w:val="bottom"/>
          </w:tcPr>
          <w:p>
            <w:pPr>
              <w:ind w:left="120"/>
              <w:spacing w:after="0"/>
              <w:rPr>
                <w:sz w:val="20"/>
                <w:szCs w:val="20"/>
                <w:color w:val="auto"/>
              </w:rPr>
            </w:pPr>
            <w:r>
              <w:rPr>
                <w:rFonts w:ascii="Arial" w:cs="Arial" w:eastAsia="Arial" w:hAnsi="Arial"/>
                <w:sz w:val="18"/>
                <w:szCs w:val="18"/>
                <w:color w:val="auto"/>
              </w:rPr>
              <w:t>Total net inventory</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17,070</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4"/>
                <w:szCs w:val="14"/>
                <w:color w:val="auto"/>
              </w:rPr>
            </w:pPr>
          </w:p>
        </w:tc>
        <w:tc>
          <w:tcPr>
            <w:tcW w:w="152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Professional and outside services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r>
      <w:tr>
        <w:trPr>
          <w:trHeight w:val="21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Stock-based compensation expense for all stock awards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2"/>
                <w:szCs w:val="12"/>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Cost of service and other revenue</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r>
      <w:tr>
        <w:trPr>
          <w:trHeight w:val="209"/>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r>
      <w:tr>
        <w:trPr>
          <w:trHeight w:val="20"/>
        </w:trPr>
        <w:tc>
          <w:tcPr>
            <w:tcW w:w="5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As of March 31, 2023, there was $43.8 million of total unrecognized compensation cost related to unvested restricted stock units and stock options, which is expected to be recognized over the remaining weighted-average vesting period of 3.0 years.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 Net Loss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computation of basic and diluted net loss per share: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14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120" w:type="dxa"/>
            <w:vAlign w:val="bottom"/>
            <w:gridSpan w:val="3"/>
          </w:tcPr>
          <w:p>
            <w:pPr>
              <w:jc w:val="right"/>
              <w:ind w:right="15"/>
              <w:spacing w:after="0" w:line="129" w:lineRule="exact"/>
              <w:rPr>
                <w:sz w:val="20"/>
                <w:szCs w:val="20"/>
                <w:color w:val="auto"/>
              </w:rPr>
            </w:pPr>
            <w:r>
              <w:rPr>
                <w:rFonts w:ascii="Arial" w:cs="Arial" w:eastAsia="Arial" w:hAnsi="Arial"/>
                <w:sz w:val="14"/>
                <w:szCs w:val="14"/>
                <w:b w:val="1"/>
                <w:bCs w:val="1"/>
                <w:color w:val="auto"/>
                <w:w w:val="94"/>
              </w:rPr>
              <w:t>(in thousands, except share and per share data)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7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Numerator:</w:t>
            </w: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Net loss attributable to Quanterix Corporation</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($ 6,103)</w:t>
            </w:r>
          </w:p>
        </w:tc>
        <w:tc>
          <w:tcPr>
            <w:tcW w:w="1500" w:type="dxa"/>
            <w:vAlign w:val="bottom"/>
          </w:tcPr>
          <w:p>
            <w:pPr>
              <w:jc w:val="right"/>
              <w:spacing w:after="0"/>
              <w:rPr>
                <w:sz w:val="20"/>
                <w:szCs w:val="20"/>
                <w:color w:val="auto"/>
              </w:rPr>
            </w:pPr>
            <w:r>
              <w:rPr>
                <w:rFonts w:ascii="Arial" w:cs="Arial" w:eastAsia="Arial" w:hAnsi="Arial"/>
                <w:sz w:val="18"/>
                <w:szCs w:val="18"/>
                <w:color w:val="auto"/>
              </w:rPr>
              <w:t>($ 18,153)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Denominator:</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Weighted average shares of common stock outstanding, basic and diluted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37,326,559</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36,850,894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90"/>
              </w:rPr>
              <w:t>Net loss per share attributable to Quanterix Corporation, basic and diluted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($ 0.16)</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firstLine="648"/>
        <w:spacing w:after="0" w:line="259" w:lineRule="auto"/>
        <w:rPr>
          <w:sz w:val="20"/>
          <w:szCs w:val="20"/>
          <w:color w:val="auto"/>
        </w:rPr>
      </w:pPr>
      <w:r>
        <w:rPr>
          <w:rFonts w:ascii="Arial" w:cs="Arial" w:eastAsia="Arial" w:hAnsi="Arial"/>
          <w:sz w:val="18"/>
          <w:szCs w:val="18"/>
          <w:color w:val="auto"/>
        </w:rPr>
        <w:t>In periods when the Company is in a net loss position, dilutive securities are excluded from the computation of diluted earnings per share because their inclusion would have an anti-dilutive effect. Thus, basic net loss per share is the same as diluted net loss per share. The following common share equivalents have been excluded from the calculation of diluted net loss per share:</w:t>
      </w:r>
    </w:p>
    <w:p>
      <w:pPr>
        <w:spacing w:after="0" w:line="192"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6350</wp:posOffset>
            </wp:positionV>
            <wp:extent cx="2057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6300"/>
        <w:spacing w:after="0"/>
        <w:tabs>
          <w:tab w:leader="none" w:pos="80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tbl>
      <w:tblPr>
        <w:tblLayout w:type="fixed"/>
        <w:tblInd w:w="60" w:type="dxa"/>
        <w:tblCellMar>
          <w:top w:w="0" w:type="dxa"/>
          <w:left w:w="0" w:type="dxa"/>
          <w:bottom w:w="0" w:type="dxa"/>
          <w:right w:w="0" w:type="dxa"/>
        </w:tblCellMar>
      </w:tblP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1,489,354</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587,939</w:t>
            </w:r>
          </w:p>
        </w:tc>
        <w:tc>
          <w:tcPr>
            <w:tcW w:w="20" w:type="dxa"/>
            <w:vAlign w:val="bottom"/>
            <w:tcBorders>
              <w:top w:val="single" w:sz="8" w:color="CCEEFF"/>
            </w:tcBorders>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2,720,047</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2,185,706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Company recorded income tax expense of $0.1 million for the three months ended March 31, 2023 and recorded income tax benefit of $0.2 million for the three months ended March 31, 2022. Furthermore, the Company’s effective tax rate was (2.36)% for the three months ended March 31, 2023 and 1.09% for the three months ended March 31, 2022. The difference between the United States Federal income tax rate and the Company’s effective tax rate is principally due to a valuation allowance in the United States, partially offset by income taxes in foreign jurisdictions.</w:t>
      </w:r>
    </w:p>
    <w:p>
      <w:pPr>
        <w:spacing w:after="0" w:line="16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Company maintains a valuation allowance on the majority of its deferred tax assets, and it has concluded that it is more likely than not that the deferred assets will not be utilized.</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Goodwill</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During the year ended December 31, 2022, the Company identified certain indicators of impairment, including the significant decline in the Company’s stock price, actions taken under the Restructuring Plan (as defined in Note 15) and the reduction of forecasted sales and profitability. As a result, during the third quarter of 2022, the Company performed a goodwill impairment test. It was determined that the Company’s goodwill was impaired as the carrying amount of the Company’s sole reporting unit exceeded the estimated fair value. The Company concluded that the entire goodwill balance was impaired and recognized a non-cash impairment charge during the third quarter of 2022.</w:t>
      </w:r>
    </w:p>
    <w:p>
      <w:pPr>
        <w:spacing w:after="0" w:line="178"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During the three months ended March 31, 2023 and March 31, 2022, no impairment expenses were recognized for goodwill. As of March 31, 2023 and December 31, 2022, the Company had no remaining goodwill balance on the consolidated balance sheets.</w:t>
      </w:r>
    </w:p>
    <w:p>
      <w:pPr>
        <w:spacing w:after="0" w:line="180" w:lineRule="exact"/>
        <w:rPr>
          <w:sz w:val="20"/>
          <w:szCs w:val="20"/>
          <w:color w:val="auto"/>
        </w:rPr>
      </w:pPr>
    </w:p>
    <w:p>
      <w:pPr>
        <w:ind w:left="60" w:right="6199" w:hanging="10"/>
        <w:spacing w:after="0" w:line="603" w:lineRule="auto"/>
        <w:tabs>
          <w:tab w:leader="none" w:pos="33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Purchase Commitments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Stratec</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During the year ended December 31, 2022, the Company entered into a supply agreement (the Stratec Supply Agreement) with Stratec Consumables GmBH (Stratec) to order discs used in manufacturing the Simoa HD-X instrument. As part of the Stratec Supply Agreement, the Company agreed to purchase a total of 375,000 discs to be shipped at various points starting in 2022 and continuing through 2024 at an agreed purchase price per disc. In 2022, under the Stratec Supply Agreement, Stratec shipped 75,000 discs to the Company. Additionally, per the Stratec Supply Agreement, during the years ended December 31, 2023 and 2024, Stratec is required to ship 220,000 and 80,000 discs, respectively, to the Company. As of March 31, 2023, the Company had $4.9 million of open purchase orders with Stratec.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Purchase Commitments</w:t>
      </w:r>
    </w:p>
    <w:p>
      <w:pPr>
        <w:spacing w:after="0" w:line="225"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Company purchases substantial amounts of raw materials for manufacturing operations under annual and multi-year agreements, some of which have minimum quantity requirements. Additionally, the Company enters into annual agreements for other parts of its operations. The Company had total purchase commitments for the three months ended March 31, 2023, of $2.7 million, most of which the Company expects to incur in the year ending December 31,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June 2007, the Company entered into a license agreement (the License Agreement) for certain intellectual property with Tufts University (Tufts). The License Agreement, which was subsequently amended, is exclusive and sub-licensable, and will continue in effect on a country by country basis as long as there is a valid claim of a licensed patent in a country. The Company is contractually obligated to pay license and maintenance fees, prior to commercialization, in addition to low single digit royalties on direct sales and services and a royalty on sublicense income. During each of the three months ended March 31, 2023 and 2022, the Company recorded royalty expense of $0.4 million related to the License Agreement. This royalty expense is recorded in cost of product revenue on the consolidated statements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 June 2007, the Company entered into the License Agreement for certain intellectual property with Tufts (see Note 13). Tufts’ equity ownership in the Company makes Tufts a related party. A member of our Board of Directors was previously affiliated with Tufts and continues to receive compensation from Tufts on a formulaic basis on royalties and license payments the Company makes to Tufts. During each of the three months ended March 31, 2023 and 2022, the Company recorded royalty expense of $0.4 million in cost of product revenue on the consolidated statements of operations.</w:t>
      </w:r>
    </w:p>
    <w:p>
      <w:pPr>
        <w:spacing w:after="0" w:line="16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One of the Company’s directors is affiliated with Harvard University and Mass General Brigham. Revenue recorded from sales to Harvard University and its affiliates and to Mass General Brigham and its affiliates totaled $0.3 million and $0.2 million for the three months ended March 31, 2023, and 2022, respectively. The Company recorded cost of goods sold of $0.1 million for the three months ended March 31, 2023 related to Harvard University and its affiliates and to Mass General Brigham and its affiliates, with immaterial cost of goods sold recorded for the three months ended March 31, 2022. The Company had $0.1 million in accounts receivable from Harvard University and its affiliates and Mass General Brigham and its affiliates at both March 31, 2023 and December 31, 2022. Deferred revenue from Harvard University and its affiliates and Mass General Brigham and its affiliates was less than $0.1 million at both March 31, 2023 and December 31, 2022. In August 2022, the Company also entered into a license agreement with Harvard University and paid an upfront fee of $0.6 million which was recognized as research and development expenses. Under this license, the Company is required to pay Harvard royalties on net sales of licensed products and services as well as a portion of our applicable sublicense revenues. Harvard University is obligated to pay a portion of the payments received from the Company to one of the Company’s directors. The Company incurred no royalty expense under this license for both three months ended March 31, 2023, and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On May 26, 2022, the Company entered into an agreement with UltraDx Limited (the UltraDx Agreement), a company formed by ARCH Venture Partners (ARCH). Under the UltraDx Agreement, the Company will supply HD-X instruments (both fully assembled and disassembled) as well as assays and assay components to UltraDx, and UltraDx has the non-exclusive right to seek Chinese regulatory approval of and to commercialize the HD-X instrument and related assays in the Chinese neurological in vitro diagnostic market. The Company has determined that UltraDx is a related party because one of the Company’s directors is affiliated with ARCH and UltraDx. Under the terms of the UltraDx Agreement, the Company shipped a total of ten fully assembled and disassembled HD-X instruments to UltraDx on June 30, 2022 at a purchase price of approximately $1.9 million. Because UltraDx was formed during the second quarter of 2022, the Company recognized revenue on these shipments upon receipt of payment in the third quarter of 2022. Revenue recognized on shipments to UltraDx for the three months ended March 31, 2023 was less than $0.1 million and no revenue was recognized on shipments to UltraDx for the three months ended March 31,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Restructuring</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Following a strategic review and assessment of the Company’s operations and cost structure, on August 8, 2022, the Company announced a plan of restructuring and strategic re-alignment (the Restructuring Plan). As part of the Restructuring Plan, the Company began an assay redevelopment program with the ultimate objective of improving its ability to manufacture and deliver high-quality assays at scale. The Restructuring Plan aligns the Company’s investments to best serve the needs of its customers, focuses the Company’s innovation efforts on key platforms and provides a foundation for the Company’s entry into translational pharma and clinical markets, which it believes will be required to access new growth categories. In accordance with the Restructuring Plan, the Company implemented a workforce reduction, which was substantially completed by the end of the third quarter of 2022. The Restructuring Plan included the elimination of 119 positions and other cost-saving measures. The workforce reduction was substantially completed by the end of the third quarter of 2022.</w:t>
      </w:r>
    </w:p>
    <w:p>
      <w:pPr>
        <w:spacing w:after="0" w:line="18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As part of the Restructuring Plan, the Company also performed an assessment of impairment for long-lived assets, including right-of-use assets, and recorded an impairment charge of $17.4 million during the year ended December 31, 2022. The impairment expense includes $16.3 million associated with the right-of-use and property and equipment at the Bedford facilities. Additionally, the Company recorded an impairment charge of $1.1 million for software costs related to projects that were rationalized as part of the Restructuring Plan. There were no impairment charges recorded associated with the Restructuring Plan during the three months ended March 31, 2023.</w:t>
      </w:r>
    </w:p>
    <w:p>
      <w:pPr>
        <w:spacing w:after="0" w:line="178"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following table presents the restructuring reserve and provision activity for the three months ended March 31, 2023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Severance and Employee Benefit Costs</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5940" w:type="dxa"/>
            <w:vAlign w:val="bottom"/>
          </w:tcPr>
          <w:p>
            <w:pPr>
              <w:ind w:left="100"/>
              <w:spacing w:after="0"/>
              <w:rPr>
                <w:sz w:val="20"/>
                <w:szCs w:val="20"/>
                <w:color w:val="auto"/>
              </w:rPr>
            </w:pPr>
            <w:r>
              <w:rPr>
                <w:rFonts w:ascii="Arial" w:cs="Arial" w:eastAsia="Arial" w:hAnsi="Arial"/>
                <w:sz w:val="18"/>
                <w:szCs w:val="18"/>
                <w:color w:val="auto"/>
              </w:rPr>
              <w:t>Accrual adjustments</w:t>
            </w:r>
          </w:p>
        </w:tc>
        <w:tc>
          <w:tcPr>
            <w:tcW w:w="2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such activities existed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2022, filed with the Securities and Exchange Commission (the SEC) on March 6, 2023.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on Form 10-Q or under “Risk Factors” in Item 1A of Part I of our Annual Report on Form 10-K for the year ended December 31, 2022 as may be updated by “Part II, Item 1A, Risk Factors” of our subsequently filed Quarterly Reports on Form 10-Q.</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spacing w:after="0" w:line="168"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total consumables revenue overall is expected to increase.</w:t>
      </w:r>
    </w:p>
    <w:p>
      <w:pPr>
        <w:spacing w:after="0" w:line="188"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commercially launched our first immunoassay platform, the Simoa HD-1, in 2014. The HD-1 is based on our bead-based technology and assays run on the HD-1 are fully automated. We initiated commercial launch of the SR-X instrument in 2017. The SR-X utilizes the same Simoa bead-based technology and assay kits as the HD-1 in a compact benchtop form with a lower price point, more flexible assay preparation, and a wider range of applications. In 2019, we launched the Simoa HD-X, an upgraded version of the Simoa HD-1, which replaces the HD-1. The HD-X has been designed to deliver significant productivity and operational efficiency improvements, as well as greater user flexibility. By March 31, 2023, approximately 80% of the HD instrument installed base was HD-X instruments.</w:t>
      </w:r>
    </w:p>
    <w:p>
      <w:pPr>
        <w:spacing w:after="0" w:line="177"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With our acquisition of Aushon BioSystems, Inc. in 2018, we acquired a CLIA certified laboratory, as well as their proprietary sensitive planar array detection technology.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188"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Our wholly owned subsidiary UmanDiagnostics AB (Uman), a Swedish company located in Umeå, Sweden, supplies neurofilament light (Nf-L) antibodies and ELISA kits, which are used by researchers and biopharmaceutical and diagnostics companies world-wide in the detection of Nf-L to advance the development of therapeutics and diagnostics for neurodegenerative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648"/>
        <w:spacing w:after="0" w:line="279" w:lineRule="auto"/>
        <w:rPr>
          <w:sz w:val="20"/>
          <w:szCs w:val="20"/>
          <w:color w:val="auto"/>
        </w:rPr>
      </w:pPr>
      <w:r>
        <w:rPr>
          <w:rFonts w:ascii="Arial" w:cs="Arial" w:eastAsia="Arial" w:hAnsi="Arial"/>
          <w:sz w:val="17"/>
          <w:szCs w:val="17"/>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2,000 projects for more than 450 customers from all over the world using our Simoa platforms.</w:t>
      </w:r>
    </w:p>
    <w:p>
      <w:pPr>
        <w:spacing w:after="0" w:line="17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including Australia, Brazil, China, Czech Republic, India, Hong Kong, Israel, Japan, New Zealand, Qatar, Saudi Arabia, Singapore, South Africa, South Korea, Taiwan, and UAE. In addition, Uman sells Nf-L antibodies and Nf-L ELISA kits directly, and in conjunction with us and another distributor worldwide. We have an extensive base of customers in academic and governmental research institutions, as well as pharmaceutical, biotechnology and contract research companies.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Business Developments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On March 24, 2022, we entered into a contract with the ADDF (the ADDF Grant). ADDF is a charitable venture philanthropy entity that has granted us funding in support of certain activities for the development of an in vitro diagnostic (IVD) test for early detection of Alzheimer's disease. The ADDF Grant, which has a total funding value of $2.3 million, restricts our use of the granted funds to be used solely for activities related to the Alzheimer’s diagnostic test development project. Contract funding is subject to achievement of pre-defined milestones and the contract period runs through June 2024. We recognize revenue over time as the related services are performed. As of March 31, 2023, we had received the total funding value of $2.3 million under the ADDF Grant, after receiving the second payment in the amount of $1.0 million during the first quarter of 2023 upon submission of satisfactory scientific and financial progress reports to ADDF. At March 31, 2023 and December 31, 2022, we had $1.7 million and $0.7 million of deferred revenue related to the ADDF Grant, respectively. During the three months ended March 31, 2023, grant revenue recognized and research and development expense incurred related to the ADDF Grant were immaterial. No such activities occurred in the three months ended March 31, 2022.</w:t>
      </w:r>
    </w:p>
    <w:p>
      <w:pPr>
        <w:spacing w:after="0" w:line="17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On September 21, 2022, we entered into a contract with National Institutes of Health (NIH) (the NIH Grant) with a total award value of $1.7 million. NIH is an agency of the U.S. Department of Health and Human Services. NIH has granted us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During the three months ended March 31, 2023, we recognized $0.2 million of revenue and incurred $0.1 million of expense related to NIH Grant. There was no revenue recognized or expense incurred related to the NIH Grant for the three months ended March 31, 2022.</w:t>
      </w:r>
    </w:p>
    <w:p>
      <w:pPr>
        <w:spacing w:after="0" w:line="177"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During the first quarter of 2022, we entered into a Master Collaboration Agreement with Eli Lilly and Company (Lilly) establishing a framework for future projects focused on the development of Simoa immunoassays (the Lilly Collaboration Agreement). We also entered into a statement of work (the Statement of Work) under the Lilly Collaboration Agreement to perform assay research and development services within the field of Alzheimer’s disease. In connection with the Lilly Collaboration Agreement, we received a non-refundable up-front payment of $5.0 million during the first quarter of 2022, which has been recognized over a one-year period. In addition, under the Statement of Work, we receive $1.5 million per calendar quarter, beginning with the first quarter of 2022. The Statement of Work automatically renews on a quarterly basis unless Lilly provides termination notice under the Lilly Collaboration Agreement.</w:t>
      </w:r>
    </w:p>
    <w:p>
      <w:pPr>
        <w:spacing w:after="0" w:line="165"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 xml:space="preserve">Concurrent with the execution of the Lilly Collaboration Agreement, we entered into a Technology License Agreement (the Lilly License) under which Lilly granted us a non-exclusive license to Lilly’s proprietary pTau-217 antibody technology for potential near-term use in research-use-only products and services and future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applications within the field of Alzheimer’s disease. In consideration of the Lilly License, we paid an upfront fee, are required to make milestone payments based on the achievement of predetermined regulatory and commercial events, and will pay a royalty on net sales of licensed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During the three months ended March 31, 2023 and 2022, we recognized $1.5 million and $2.7 million of revenue from the Lilly Collaboration Agreement, respectively.</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and Strategic Re-Alignment</w:t>
      </w:r>
    </w:p>
    <w:p>
      <w:pPr>
        <w:spacing w:after="0" w:line="22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Following a strategic review and assessment of our operations and cost structure, on August 8, 2022, we announced a plan of restructuring and strategic re-alignment (the Restructuring Plan). As part of this plan, we began an assay redevelopment program with the ultimate objective of improving our ability to manufacture and deliver high-quality assays at scale. The plan aligns our investments to best serve the needs of customers, focuses innovation efforts on key platforms and provides the foundation for our entry into translational pharma and clinical markets, which we believe will be required to access new growth categories. The Restructuring Plan included the elimination of 119 positions and other cost-saving measures. The workforce reduction was substantially completed by the end of the third quarter of 2022. As part of the Restructuring Plan, we are also reviewing alternative uses of the additional facility space that we currently lease in Bedford, Massachusetts. These alternatives may include termination of the lease, or sub-leasing all, or a portion, of the Bedford facilities. During the year ended December 31, 2022, we recorded an impairment expense of $16.3 million on our long-lived assets related to the Bedford facilities, as well as a $1.1 million impairment expense related to software projects. There were no impairment charges recorded associated with the Restructuring Plan in the three months ended March 31, 2023. Overall, as a result of the Restructuring Plan, we expect to realize estimated annualized operating expense savings of approximately $25 million.</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As of March 31, 2023, we had cash and cash equivalents of $329.4 million. Since inception, we have incurred annual net losses. Our net losses were $6.1 million and $18.2 million for the three months ended March 31, 2023 and 2022, respectively. As of March 31, 2023, we had an accumulated deficit of $408.3 million and stockholders' equity of $357.3 million.</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at least through the next 24 months. We expect our expenses will increase substantially as we:</w:t>
      </w:r>
    </w:p>
    <w:p>
      <w:pPr>
        <w:spacing w:after="0" w:line="170"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jc w:val="both"/>
        <w:ind w:left="1040" w:right="23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FDA to be medical devices or otherwise subject to additional regulation by FDA;</w:t>
      </w:r>
    </w:p>
    <w:p>
      <w:pPr>
        <w:spacing w:after="0" w:line="1"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seek PMA or 510(k) clearance from FDA for our existing products or new products if or when we decide to market products for use in the prevention, diagnosis or treatment of a disease or other condition;</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personnel and grow our employee headcount;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strategically acquire and integrate companies or technologies that may be complementary to our business;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 and</w:t>
      </w:r>
    </w:p>
    <w:p>
      <w:pPr>
        <w:spacing w:after="0" w:line="22"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2023 and March 31, 2022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6"/>
              </w:rPr>
              <w:t>Three Months Ended March 31,</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0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20,656</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8,579</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328 %</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 %</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29,552</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Cost of service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4,497</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6 %</w:t>
            </w:r>
          </w:p>
        </w:tc>
      </w:tr>
      <w:tr>
        <w:trPr>
          <w:trHeight w:val="182"/>
        </w:trPr>
        <w:tc>
          <w:tcPr>
            <w:tcW w:w="2960" w:type="dxa"/>
            <w:vAlign w:val="bottom"/>
            <w:tcBorders>
              <w:top w:val="single" w:sz="8" w:color="CCEEFF"/>
            </w:tcBorders>
            <w:shd w:val="clear" w:color="auto" w:fill="CCEEFF"/>
          </w:tcPr>
          <w:p>
            <w:pPr>
              <w:ind w:left="280"/>
              <w:spacing w:after="0" w:line="182" w:lineRule="exact"/>
              <w:rPr>
                <w:sz w:val="20"/>
                <w:szCs w:val="20"/>
                <w:color w:val="auto"/>
              </w:rPr>
            </w:pPr>
            <w:r>
              <w:rPr>
                <w:rFonts w:ascii="Arial" w:cs="Arial" w:eastAsia="Arial" w:hAnsi="Arial"/>
                <w:sz w:val="18"/>
                <w:szCs w:val="18"/>
                <w:color w:val="auto"/>
              </w:rPr>
              <w:t>Total costs of goods sold and</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2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16 %</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4,720</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(2,314)</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(33)%</w:t>
            </w: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Selling, general, and administrative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Other lease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26,346</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32,746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(20)%</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(18,187)</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48 %</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3,449</w:t>
            </w: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(6,533)%</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(104)%</w:t>
            </w: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(18,352)</w:t>
            </w:r>
          </w:p>
        </w:tc>
        <w:tc>
          <w:tcPr>
            <w:tcW w:w="12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68 %</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(170)%</w:t>
            </w: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(18,153)</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70 %</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800" w:firstLine="648"/>
        <w:spacing w:after="0" w:line="277" w:lineRule="auto"/>
        <w:rPr>
          <w:sz w:val="20"/>
          <w:szCs w:val="20"/>
          <w:color w:val="auto"/>
        </w:rPr>
      </w:pPr>
      <w:r>
        <w:rPr>
          <w:rFonts w:ascii="Arial" w:cs="Arial" w:eastAsia="Arial" w:hAnsi="Arial"/>
          <w:sz w:val="18"/>
          <w:szCs w:val="18"/>
          <w:color w:val="auto"/>
        </w:rPr>
        <w:t>Total revenue decreased $1.1 million, or 4%, to $28.5 million for the three months ended March 31, 2023, compared to $29.6 million for the three months ended March 31, 2022.</w:t>
      </w: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40"/>
          </w:cols>
          <w:pgMar w:left="1440" w:top="517" w:right="131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Product revenue of $19.3 million for the three months ended March 31, 2023 consisted of instrument sales of $5.3 million and sales of consumables and other products of $14.0 million. This represented a decrease of $1.4 million, or 7%, as compared to product revenue of $20.7 million for the three months ending March 31, 2022, which consisted of $6.2 million in instrument sales and $14.4 million in consumables and other. The decrease in product revenue was primarily due to reduced demand for our instruments in Asia Pacific and softening demand in North America, as well as reducing our production levels of consumables as we focus on building quality infrastructure and redeveloping our assays.</w:t>
      </w:r>
    </w:p>
    <w:p>
      <w:pPr>
        <w:spacing w:after="0" w:line="164"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Service and other revenue was $8.6 million for the three months ended March 31, 2023, compared to $8.8 million for the three months ended March 31, 2022, a decrease of $0.2 million, or 3%, primarily due to lower revenue recognized from the Lilly Collaboration Agreement.</w:t>
      </w:r>
    </w:p>
    <w:p>
      <w:pPr>
        <w:spacing w:after="0" w:line="184"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Collaboration and license revenue was $0.4 million for the three months ended March 31, 2023, compared to $0.1 million for the three months ended March 31, 2022, an increase of $0.3 million, or 328%. This was primarily due to an increase in collaboration and license revenue from our subsidiary Uman.</w:t>
      </w:r>
    </w:p>
    <w:p>
      <w:pPr>
        <w:spacing w:after="0" w:line="184"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Grant revenue of $0.2 million for the three months ended March 31, 2023 consisted of revenue related to the NIH and ADDF Grants. We did not have any grant revenue during the three months ended March 31, 2022.</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202124"/>
        </w:rPr>
        <w:t>Cost of goods sold and services decreased $3.5 million, or 23%, to $11.5 million for the three months ended March 31, 2023 compared to $15.0 million for the three months ended March 31, 2022, primarily due to decreased cost of product revenue. Cost of product revenue decreased $3.7 million, or 35%, to $7.0 million for the three months ended March 31, 2023, compared to $10.7 million for the three months ended March 31, 2022, as a result of improved inventory management, utilization of raw materials previously reserved as excess and a reduction in the operations and supply chain department costs as a result of the Restructuring Plan.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Research and development expense decreased $2.3 million, or 33%, to $4.7 million for the three months ended March 31, 2023, as compared to $7.0 million for the three months ended March 31, 2022, primarily due to the reduction in headcount in connection with the Restructuring Plan.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Selling, general and administrative expense decreased $4.8 million, or 19%, to $20.9 million for the three months ended March 31, 2023, as compared to $25.7 million for the three months ended March 31, 2022, mainly due to the reduction in headcount in connection with the Restructing Plan. Included within selling, general and administrative expense are shipping and handling costs for product sales of $1.8 million for both the three months ended March 31, 2023 and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Lease Costs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During the three months ended March 31, 2023, we incurred other lease costs of $0.8 million. As part of the Restructuring Plan, we are not utilizing the office and laboratory space leased in Bedford, Massachusetts and are evaluating alternatives, including termination of the lease or sub-leasing the facilities. Other lease costs represent the depreciation expense of the right-of-use asset and the accretion of the lease facility for periods after the impairment and the determination that the facilities would not be utilized. There were no similar charges for the three months ended March 31, 2022.</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Interest income (expense), net was income of $3.4 million for the three months ended March 31, 2023, as compared to income of $0.1 million for the three months ended March 31, 2022, due to the favorable impact of higher interest rates earned on cash and cash equivalents.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Other (expense) income, net was immaterial in the three months ended March 31, 2023, as compared to ($0.2) million of expense in the three months ended March 31, 2022, mainly due to the impact of foreign currency exchange rates.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 Benefit, Net</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Income tax (expense) benefit, net was ($0.1) million of expense for the three months ended March 31, 2023, as compared to benefit of $0.2 million for the three months ended March 31, 2022. The difference between the United States Federal income tax rate and the Company’s effective tax rate is principally due to a valuation allowance in the United States, partially offset by income taxes in foreign jurisdictions.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To supplement our financial statements presented on a GAAP basis, we present non-GAAP gross profit, non-GAAP gross margin and non-GAAP operating expenses, which are calculated by including shipping and handling costs for product sales within cost of goods sold instead of within selling, general and administrative expenses. Management uses these non-GAAP measures to evaluate our operating performance in a manner that allows for meaningful period-to-period comparison and analysis of trends in our business and our competitors. Management believes that presentation of non-GAAP gross margin provides useful information to investors in assessing our operating performance within our industry and in order to allow comparability to the presentation of other companies in our industry where shipping and handling costs are included in cost of goods sold for products. Management also uses non-GAAP gross margin as a factor in assessing the Company’s progress against the Restructuring Plan. The non-GAAP financial information presented here should be considered in conjunction with, and not as a substitute for, the financial information presented in accordance with GAAP.</w:t>
      </w:r>
    </w:p>
    <w:p>
      <w:pPr>
        <w:spacing w:after="0" w:line="182"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Set forth below is a reconciliation of non-GAAP gross profit, non-GAAP gross margin and non-GAAP operating expenses to their most directly comparable GAAP financial measures.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Reconciliation of Non-GAAP Financial Measures: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9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gross profit</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16,926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Shipping and handling costs</w:t>
            </w:r>
          </w:p>
        </w:tc>
        <w:tc>
          <w:tcPr>
            <w:tcW w:w="8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(1,829)</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15,097</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revenue</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28,456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GAAP gross margin (gross profit as % of revenue)</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6"/>
              </w:rPr>
              <w:t>59.5%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gross margin (non-GAAP gross profit as % of revenue)</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53.1%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total operating expenses</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26,346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Arial" w:cs="Arial" w:eastAsia="Arial" w:hAnsi="Arial"/>
                <w:sz w:val="16"/>
                <w:szCs w:val="16"/>
                <w:color w:val="auto"/>
              </w:rPr>
              <w:t>Shipping and handling costs</w:t>
            </w:r>
          </w:p>
        </w:tc>
        <w:tc>
          <w:tcPr>
            <w:tcW w:w="8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(1,829)</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total operating expenses</w:t>
            </w: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24,517</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loss from operations</w:t>
            </w:r>
          </w:p>
        </w:tc>
        <w:tc>
          <w:tcPr>
            <w:tcW w:w="82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(9,420)</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6"/>
                <w:szCs w:val="16"/>
                <w:color w:val="auto"/>
              </w:rPr>
              <w:t>Non-GAAP loss from operations</w:t>
            </w: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vMerge w:val="continue"/>
          </w:tcPr>
          <w:p>
            <w:pPr>
              <w:spacing w:after="0"/>
              <w:rPr>
                <w:sz w:val="15"/>
                <w:szCs w:val="15"/>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(9,420)</w:t>
            </w:r>
          </w:p>
        </w:tc>
        <w:tc>
          <w:tcPr>
            <w:tcW w:w="1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(18,187)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42"/>
        </w:trPr>
        <w:tc>
          <w:tcPr>
            <w:tcW w:w="6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09"/>
        </w:trPr>
        <w:tc>
          <w:tcPr>
            <w:tcW w:w="6280" w:type="dxa"/>
            <w:vAlign w:val="bottom"/>
          </w:tcPr>
          <w:p>
            <w:pPr>
              <w:ind w:left="1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invest in process improvements.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Net cash used in operating activities was $9.5 million during the three months ended March 31, 2023. The net cash used in operating activities primarily consisted of the net loss of $6.1 million offset by non-cash charges of $3.9 million of stock-based compensation expense and $1.4 million of depreciation and amortization expense. Cash used as a result of changes in operating assets and liabilities of $9.5 million was primarily due to a decrease in accounts payable of $1.3 million, a decrease in accrued compensation and benefits, other accrued expenses and other current liabilities of $6.0 million and an increase in accounts receivable of $3.7 million primarily offset by an increase in deferred revenue of $2.0 million.</w:t>
      </w:r>
    </w:p>
    <w:p>
      <w:pPr>
        <w:spacing w:after="0" w:line="195" w:lineRule="exact"/>
        <w:rPr>
          <w:sz w:val="20"/>
          <w:szCs w:val="20"/>
          <w:color w:val="auto"/>
        </w:rPr>
      </w:pPr>
    </w:p>
    <w:p>
      <w:pPr>
        <w:ind w:left="60" w:right="259" w:firstLine="648"/>
        <w:spacing w:after="0" w:line="273" w:lineRule="auto"/>
        <w:rPr>
          <w:sz w:val="20"/>
          <w:szCs w:val="20"/>
          <w:color w:val="auto"/>
        </w:rPr>
      </w:pPr>
      <w:r>
        <w:rPr>
          <w:rFonts w:ascii="Arial" w:cs="Arial" w:eastAsia="Arial" w:hAnsi="Arial"/>
          <w:sz w:val="17"/>
          <w:szCs w:val="17"/>
          <w:color w:val="auto"/>
        </w:rPr>
        <w:t>Net cash used in operating activities was $21.7 million during the three months ended March 31, 2022. The net cash used in operating activities primarily consisted of the net loss of $18.2 million offset by non-cash charges of $3.8 million of stock-based compensation expense and $1.4 million of depreciation and amortization expense. Cash used as a result of changes in operating assets and liabilities of $8.9 million was primarily due to a decrease in accounts payable of $5.3 million and a decrease in accrued compensation and benefits, other accrued expenses and other current liabilities of $4.9 million, offset by an increase in deferred revenue of $3.0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We used $0.1 million and $0.9 million in cash during the three months ended March 31, 2023 and three months ended March 31, 2022, respectively, primarily related to purchases of property and equipment.</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sales of our stock, borrowings from credit facilities and revenues from our commercial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Financing activities provided $0.6 million and $1.0 million of cash during the three months ended March 31, 2023 and three months ended March 31, 2022, respectively, mainly from proceeds from employee stock purchases and stock option exercises.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66"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We have not achieved profitability on an annual basis since our inception, and we expect to continue to incur net losses in the future. We also expect that our operating expenses will increase as we continue to increase our marketing efforts to drive adoption of our commercial products as well as our investment in improving the quality of our products and services. Our liquidity requirements have historically consisted, and we expect that they will continue to consist, of sales and marketing expenses, research and development expenses, working capital, debt service and general corporate expenses.</w:t>
      </w:r>
    </w:p>
    <w:p>
      <w:pPr>
        <w:spacing w:after="0" w:line="20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We believe cash generated from commercial sales along with our current cash and cash equivalents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“Part I - Item 1A - “Risk Factors” of our Annual Report on Form 10-K for the year ended December 31, 2022.</w:t>
      </w:r>
    </w:p>
    <w:p>
      <w:pPr>
        <w:spacing w:after="0" w:line="205"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We have based our estimates on assumptions that may prove to be wrong and we could utilize our available capital resources sooner than we currently expect. Our future funding requirements will depend on many factors, including:</w:t>
      </w:r>
    </w:p>
    <w:p>
      <w:pPr>
        <w:spacing w:after="0" w:line="164" w:lineRule="exact"/>
        <w:rPr>
          <w:sz w:val="20"/>
          <w:szCs w:val="20"/>
          <w:color w:val="auto"/>
        </w:rPr>
      </w:pPr>
    </w:p>
    <w:p>
      <w:pPr>
        <w:ind w:left="1380" w:right="399" w:hanging="655"/>
        <w:spacing w:after="0" w:line="25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market acceptance of our products and services and the ability of our products to meet our customers’ expectations;</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80" w:right="31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achieve intended cost savings, revenue improvement and related benefits from our Restructuring Plan;</w:t>
      </w:r>
    </w:p>
    <w:p>
      <w:pPr>
        <w:ind w:left="1380" w:right="39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are able to successfully complete our assay improvement program to enhance product quality;</w:t>
      </w: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380" w:right="51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opportunities to strategically acquire and integrate companies or technologies that may be complementary to our business;</w:t>
      </w:r>
    </w:p>
    <w:p>
      <w:pPr>
        <w:ind w:left="1380" w:right="17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65"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If the conditions for raising capital are favorable, we may seek to finance future cash needs through public or private equity or debt offerings or other financings.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March 31, 2023, there have been no material changes to our contractual obligations and commitments from those described under “Management’s Discussion and Analysis of Financial Condition and Results of Operations” included in our Annual Report on Form 10-K for the year ended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left="60" w:right="99" w:firstLine="648"/>
        <w:spacing w:after="0" w:line="31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53"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2022.</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There have been no material changes to our critical accounting policies and estimates as disclosed therein.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See Note 2 to our unaudited consolidated financial statements included in this Quarterly Report on Form 10-Q for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At March 31, 2023, there have been no material changes to the market risk information from those described under “Quantitative and Qualitative Disclosures About Market Risk” included in the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As previously disclosed under “Part II - Item 9A - Controls and Procedures” in our Annual Report on Form 10-K for the fiscal year ended December 31, 2022, management concluded that our internal control over financial reporting was not effective at the reasonable assurance level as of December 31, 2022, due to certain deficiencies that constituted material weaknesses in our internal control over financial reporting.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4"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Our management has been actively engaged in the implementation of remediation efforts to address the material weaknesses, as well as other identified areas of risk. For a complete description of management’s remediation plan, see “Part II - Item 9A - Controls and Procedures” in our Annual Report on Form 10-K for the fiscal year ended December 31, 2022. For updates on management’s remediation plan as of March 31, 2023, see the section titled “Management’s Implementation of Remediation Plan” below.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99" w:firstLine="441"/>
        <w:spacing w:after="0" w:line="285" w:lineRule="auto"/>
        <w:rPr>
          <w:sz w:val="20"/>
          <w:szCs w:val="20"/>
          <w:color w:val="auto"/>
        </w:rPr>
      </w:pPr>
      <w:r>
        <w:rPr>
          <w:rFonts w:ascii="Arial" w:cs="Arial" w:eastAsia="Arial" w:hAnsi="Arial"/>
          <w:sz w:val="16"/>
          <w:szCs w:val="16"/>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March 31, 2023. Based on this evaluation and previously identified material weaknesses in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March 31, 2023, given that we commenced implementing efforts to remediate the material weakness in our internal control over financial reporting in March 2023 and we have not had a sufficient period of time to test the operating effectiveness of our internal control over financial reporting.</w:t>
      </w:r>
    </w:p>
    <w:p>
      <w:pPr>
        <w:spacing w:after="0" w:line="174" w:lineRule="exact"/>
        <w:rPr>
          <w:sz w:val="20"/>
          <w:szCs w:val="20"/>
          <w:color w:val="auto"/>
        </w:rPr>
      </w:pPr>
    </w:p>
    <w:p>
      <w:pPr>
        <w:jc w:val="both"/>
        <w:ind w:left="60" w:right="319" w:firstLine="441"/>
        <w:spacing w:after="0" w:line="259" w:lineRule="auto"/>
        <w:rPr>
          <w:sz w:val="20"/>
          <w:szCs w:val="20"/>
          <w:color w:val="auto"/>
        </w:rPr>
      </w:pPr>
      <w:r>
        <w:rPr>
          <w:rFonts w:ascii="Arial" w:cs="Arial" w:eastAsia="Arial" w:hAnsi="Arial"/>
          <w:sz w:val="18"/>
          <w:szCs w:val="18"/>
          <w:color w:val="auto"/>
        </w:rPr>
        <w:t>Nevertheless, based on a number of factors, including the performance of additional procedures by management designed to ensure the reliability of our financial reporting, we believe that the consolidated financial statements in this Report fairly present, in all material respects, our financial position, results of operations, and cash flows as of the dates, and for the periods, presented, in conformity with US GAAP.</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Implementation of Remediation Plan</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Management, with oversight from the Audit Committee of our Board of Directors, has commenced implementing changes to our internal control over financial reporting in order to remediate the control deficiencies that resulted in the material weaknesses as previously disclosed in our Form 10-K for the fiscal year ended December 31, 2022. As of March 31, 2023, we are on track with our remediation plan as previously disclosed in our Form 10-K for the fiscal year ended December 31, 2022. Our ongoing efforts for remediation include, but are not limited to, the following:</w:t>
      </w:r>
    </w:p>
    <w:p>
      <w:pPr>
        <w:spacing w:after="0" w:line="161" w:lineRule="exact"/>
        <w:rPr>
          <w:sz w:val="20"/>
          <w:szCs w:val="20"/>
          <w:color w:val="auto"/>
        </w:rPr>
      </w:pPr>
    </w:p>
    <w:p>
      <w:pPr>
        <w:ind w:left="720" w:right="13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hired an Assistant Corporate Controller and a Manager of Financial Reporting and Internal Controls and will continue to hire additional personnel (including those with public company experience) who have the appropriate level of expertise in the areas of accounting, financial reporting, and internal controls commensurate with the volume and complexity of our reporting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accounting advisory consultants to provide additional depth and breadth in our period end close, technical accounting, and financial reporting capabilities and will continue to utilize such consultants until we have filled vacancies with qualified personnel, with a sufficient period of overlap to ensure successful transition of responsibilities;</w:t>
      </w:r>
    </w:p>
    <w:p>
      <w:pPr>
        <w:spacing w:after="0" w:line="186"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a third-party service provider to perform an assessment of our internal control design and related documentation, which assessment is underway;</w:t>
      </w:r>
    </w:p>
    <w:p>
      <w:pPr>
        <w:spacing w:after="0" w:line="170" w:lineRule="exact"/>
        <w:rPr>
          <w:rFonts w:ascii="Arial" w:cs="Arial" w:eastAsia="Arial" w:hAnsi="Arial"/>
          <w:sz w:val="18"/>
          <w:szCs w:val="18"/>
          <w:color w:val="auto"/>
        </w:rPr>
      </w:pPr>
    </w:p>
    <w:p>
      <w:pPr>
        <w:ind w:left="720" w:right="2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a third-party consultant to assess our current enterprise resource planning system and identify opportunities to enhance our use of the system through automating certain controls and processes, which assessment is underway; and</w:t>
      </w:r>
    </w:p>
    <w:p>
      <w:pPr>
        <w:spacing w:after="0" w:line="183" w:lineRule="exact"/>
        <w:rPr>
          <w:rFonts w:ascii="Arial" w:cs="Arial" w:eastAsia="Arial" w:hAnsi="Arial"/>
          <w:sz w:val="18"/>
          <w:szCs w:val="18"/>
          <w:color w:val="auto"/>
        </w:rPr>
      </w:pPr>
    </w:p>
    <w:p>
      <w:pPr>
        <w:ind w:left="720" w:right="299" w:hanging="319"/>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an accounting advisory consultant to conduct additional trainings on a regular basis related to internal control over financial reporting with our team members including, but not limited to, finance and accounting personnel, which trainings commenced in Q1 2023 and are expected to continue throughout fiscal year 2023.</w:t>
      </w:r>
    </w:p>
    <w:p>
      <w:pPr>
        <w:spacing w:after="0" w:line="187"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We expect to continue our efforts through fiscal year 2023 to remediate the material weaknesses described in our Form 10-K for the fiscal year ended December 31, 2022. We believe that the implementation of the above steps, together with those disclosed under “Part II - Item 9A - Controls and Procedures” in our Annual Report on Form 10-K for the fiscal year ended December 31, 2022, will allow us to address the deficient controls within our internal control environment, which will facilitate the remediation of the material weaknesses.</w:t>
      </w:r>
    </w:p>
    <w:p>
      <w:pPr>
        <w:spacing w:after="0" w:line="176"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Given that many of the remediation efforts described above were recently implemented, we will not be able to consider the material weaknesses remediated until the applicable remedial controls operate for a sufficient period of time and our management has concluded, through testing, that our controls are operating effectively. We, along with our Audit Committee, will continue to monitor and evaluate the effectiveness of these remedial actions and take further actions as deemed appropriate.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Other than related to the changes outlined above to remediate the material weaknesses, there have been no changes in our internal control over financial reporting (as defined in Rules 13a-15(f) and 15d-15(f) under the Exchange Act) that occurred during the three months ended March 31, 2023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March 31, 2023, we were not party to any material legal proceedings.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Incorporated by</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Reference herein</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SEC File/</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from</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40" w:type="dxa"/>
            <w:vAlign w:val="bottom"/>
            <w:vMerge w:val="restart"/>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Reg.</w:t>
            </w:r>
          </w:p>
        </w:tc>
        <w:tc>
          <w:tcPr>
            <w:tcW w:w="0" w:type="dxa"/>
            <w:vAlign w:val="bottom"/>
          </w:tcPr>
          <w:p>
            <w:pPr>
              <w:spacing w:after="0"/>
              <w:rPr>
                <w:sz w:val="1"/>
                <w:szCs w:val="1"/>
                <w:color w:val="auto"/>
              </w:rPr>
            </w:pPr>
          </w:p>
        </w:tc>
      </w:tr>
      <w:tr>
        <w:trPr>
          <w:trHeight w:val="195"/>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4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740" w:type="dxa"/>
            <w:vAlign w:val="bottom"/>
            <w:tcBorders>
              <w:bottom w:val="single" w:sz="8" w:color="0000EE"/>
            </w:tcBorders>
            <w:gridSpan w:val="9"/>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Amended and Restated Certificate of Incorporation.</w:t>
              </w:r>
            </w:hyperlink>
          </w:p>
        </w:tc>
        <w:tc>
          <w:tcPr>
            <w:tcW w:w="1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12/15/2017</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3900" w:type="dxa"/>
            <w:vAlign w:val="bottom"/>
            <w:gridSpan w:val="12"/>
          </w:tcPr>
          <w:p>
            <w:pPr>
              <w:spacing w:after="0"/>
              <w:rPr>
                <w:rFonts w:ascii="Arial" w:cs="Arial" w:eastAsia="Arial" w:hAnsi="Arial"/>
                <w:sz w:val="18"/>
                <w:szCs w:val="18"/>
                <w:color w:val="0000EE"/>
              </w:rPr>
            </w:pPr>
            <w:hyperlink r:id="rId54">
              <w:r>
                <w:rPr>
                  <w:rFonts w:ascii="Arial" w:cs="Arial" w:eastAsia="Arial" w:hAnsi="Arial"/>
                  <w:sz w:val="18"/>
                  <w:szCs w:val="18"/>
                  <w:color w:val="0000EE"/>
                </w:rPr>
                <w:t>Restated Bylaws.</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12/15/2017</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3900" w:type="dxa"/>
            <w:vAlign w:val="bottom"/>
            <w:gridSpan w:val="12"/>
          </w:tcPr>
          <w:p>
            <w:pPr>
              <w:spacing w:after="0"/>
              <w:rPr>
                <w:rFonts w:ascii="Arial" w:cs="Arial" w:eastAsia="Arial" w:hAnsi="Arial"/>
                <w:sz w:val="18"/>
                <w:szCs w:val="18"/>
                <w:color w:val="0000EE"/>
              </w:rPr>
            </w:pPr>
            <w:hyperlink r:id="rId55">
              <w:r>
                <w:rPr>
                  <w:rFonts w:ascii="Arial" w:cs="Arial" w:eastAsia="Arial" w:hAnsi="Arial"/>
                  <w:sz w:val="18"/>
                  <w:szCs w:val="18"/>
                  <w:color w:val="0000EE"/>
                </w:rPr>
                <w:t>Amended and Restated Employment Agreement</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3/27/2023</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12"/>
          </w:tcPr>
          <w:p>
            <w:pPr>
              <w:spacing w:after="0"/>
              <w:rPr>
                <w:rFonts w:ascii="Arial" w:cs="Arial" w:eastAsia="Arial" w:hAnsi="Arial"/>
                <w:sz w:val="18"/>
                <w:szCs w:val="18"/>
                <w:color w:val="0000EE"/>
                <w:w w:val="96"/>
              </w:rPr>
            </w:pPr>
            <w:hyperlink r:id="rId55">
              <w:r>
                <w:rPr>
                  <w:rFonts w:ascii="Arial" w:cs="Arial" w:eastAsia="Arial" w:hAnsi="Arial"/>
                  <w:sz w:val="18"/>
                  <w:szCs w:val="18"/>
                  <w:color w:val="0000EE"/>
                  <w:w w:val="96"/>
                </w:rPr>
                <w:t>dated March 27, 2023 between Michael Doyle and</w:t>
              </w:r>
            </w:hyperlink>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the Company.</w:t>
              </w:r>
            </w:hyperlink>
          </w:p>
        </w:tc>
        <w:tc>
          <w:tcPr>
            <w:tcW w:w="2640" w:type="dxa"/>
            <w:vAlign w:val="bottom"/>
            <w:tcBorders>
              <w:top w:val="single" w:sz="8" w:color="0000EE"/>
            </w:tcBorders>
            <w:gridSpan w:val="5"/>
          </w:tcPr>
          <w:p>
            <w:pPr>
              <w:spacing w:after="0"/>
              <w:rPr>
                <w:sz w:val="19"/>
                <w:szCs w:val="19"/>
                <w:color w:val="auto"/>
              </w:rPr>
            </w:pPr>
          </w:p>
        </w:tc>
        <w:tc>
          <w:tcPr>
            <w:tcW w:w="260" w:type="dxa"/>
            <w:vAlign w:val="bottom"/>
            <w:gridSpan w:val="5"/>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0000EE"/>
              </w:rPr>
              <w:t>Certification of the Principal Executive Officer</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pursuant to Section 302 of the Sarbanes-Oxley Act</w:t>
            </w:r>
          </w:p>
        </w:tc>
        <w:tc>
          <w:tcPr>
            <w:tcW w:w="24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of 2002.</w:t>
            </w:r>
          </w:p>
        </w:tc>
        <w:tc>
          <w:tcPr>
            <w:tcW w:w="3300" w:type="dxa"/>
            <w:vAlign w:val="bottom"/>
            <w:gridSpan w:val="11"/>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3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Certification of the Principal Financial Officer</w:t>
            </w:r>
          </w:p>
        </w:tc>
        <w:tc>
          <w:tcPr>
            <w:tcW w:w="520" w:type="dxa"/>
            <w:vAlign w:val="bottom"/>
            <w:gridSpan w:val="7"/>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pursuant to Section 302 of the Sarbanes-Oxley Act</w:t>
            </w:r>
          </w:p>
        </w:tc>
        <w:tc>
          <w:tcPr>
            <w:tcW w:w="24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of 2002.</w:t>
            </w:r>
          </w:p>
        </w:tc>
        <w:tc>
          <w:tcPr>
            <w:tcW w:w="3300" w:type="dxa"/>
            <w:vAlign w:val="bottom"/>
            <w:gridSpan w:val="11"/>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Certifications of the Principal Executive Officer and</w:t>
            </w:r>
          </w:p>
        </w:tc>
        <w:tc>
          <w:tcPr>
            <w:tcW w:w="140" w:type="dxa"/>
            <w:vAlign w:val="bottom"/>
            <w:gridSpan w:val="2"/>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0000EE"/>
                <w:w w:val="97"/>
              </w:rPr>
              <w:t>Principal Financial Officer pursuant to Section 906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of the Sarbanes-Oxley Act of 2002.</w:t>
            </w:r>
          </w:p>
        </w:tc>
        <w:tc>
          <w:tcPr>
            <w:tcW w:w="1100" w:type="dxa"/>
            <w:vAlign w:val="bottom"/>
            <w:tcBorders>
              <w:top w:val="single" w:sz="8" w:color="0000EE"/>
            </w:tcBorders>
            <w:gridSpan w:val="4"/>
          </w:tcPr>
          <w:p>
            <w:pPr>
              <w:spacing w:after="0"/>
              <w:rPr>
                <w:sz w:val="19"/>
                <w:szCs w:val="19"/>
                <w:color w:val="auto"/>
              </w:rPr>
            </w:pPr>
          </w:p>
        </w:tc>
        <w:tc>
          <w:tcPr>
            <w:tcW w:w="240" w:type="dxa"/>
            <w:vAlign w:val="bottom"/>
            <w:gridSpan w:val="4"/>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w w:val="95"/>
              </w:rPr>
              <w:t>XBRL Instance Document - the instance document</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w w:val="92"/>
              </w:rPr>
              <w:t>does not appear in the Interactive Data File because</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its XBRL tags are embedded within the Inline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w w:val="99"/>
              </w:rPr>
              <w:t>XBRL Taxonomy Extension Calculation Linkbase</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XBRL Taxonomy Extension Definition.</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w w:val="96"/>
              </w:rPr>
              <w:t>XBRL Taxonomy Extension Presentation Linkbase</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Arial" w:cs="Arial" w:eastAsia="Arial" w:hAnsi="Arial"/>
                <w:sz w:val="18"/>
                <w:szCs w:val="18"/>
                <w:color w:val="auto"/>
              </w:rPr>
              <w:t>Inline XBRL and contained in Exhibit 101).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720" w:type="dxa"/>
            <w:vAlign w:val="bottom"/>
            <w:gridSpan w:val="2"/>
          </w:tcPr>
          <w:p>
            <w:pPr>
              <w:ind w:left="172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Dated: May 9, 2023</w:t>
            </w:r>
          </w:p>
        </w:tc>
        <w:tc>
          <w:tcPr>
            <w:tcW w:w="5720" w:type="dxa"/>
            <w:vAlign w:val="bottom"/>
            <w:gridSpan w:val="2"/>
          </w:tcPr>
          <w:p>
            <w:pPr>
              <w:ind w:left="1720"/>
              <w:spacing w:after="0"/>
              <w:rPr>
                <w:sz w:val="20"/>
                <w:szCs w:val="20"/>
                <w:color w:val="auto"/>
              </w:rPr>
            </w:pPr>
            <w:r>
              <w:rPr>
                <w:rFonts w:ascii="Arial" w:cs="Arial" w:eastAsia="Arial" w:hAnsi="Arial"/>
                <w:sz w:val="18"/>
                <w:szCs w:val="18"/>
                <w:color w:val="auto"/>
              </w:rPr>
              <w:t>By:  /s/ Masoud Toloue</w:t>
            </w:r>
          </w:p>
        </w:tc>
      </w:tr>
      <w:tr>
        <w:trPr>
          <w:trHeight w:val="195"/>
        </w:trPr>
        <w:tc>
          <w:tcPr>
            <w:tcW w:w="3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Masoud Toloue</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Dated: May 9, 2023</w:t>
            </w:r>
          </w:p>
        </w:tc>
        <w:tc>
          <w:tcPr>
            <w:tcW w:w="5720" w:type="dxa"/>
            <w:vAlign w:val="bottom"/>
            <w:gridSpan w:val="2"/>
          </w:tcPr>
          <w:p>
            <w:pPr>
              <w:ind w:left="1720"/>
              <w:spacing w:after="0"/>
              <w:rPr>
                <w:sz w:val="20"/>
                <w:szCs w:val="20"/>
                <w:color w:val="auto"/>
              </w:rPr>
            </w:pPr>
            <w:r>
              <w:rPr>
                <w:rFonts w:ascii="Arial" w:cs="Arial" w:eastAsia="Arial" w:hAnsi="Arial"/>
                <w:sz w:val="18"/>
                <w:szCs w:val="18"/>
                <w:color w:val="auto"/>
              </w:rPr>
              <w:t>By:  /s/ Michael A. Doyle</w:t>
            </w:r>
          </w:p>
        </w:tc>
      </w:tr>
      <w:tr>
        <w:trPr>
          <w:trHeight w:val="195"/>
        </w:trPr>
        <w:tc>
          <w:tcPr>
            <w:tcW w:w="3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A. Doyle</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Masoud Toloue, certify that:</w:t>
      </w:r>
    </w:p>
    <w:p>
      <w:pPr>
        <w:spacing w:after="0" w:line="22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Masoud Toloue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A. Doyle, certify that:</w:t>
      </w:r>
    </w:p>
    <w:p>
      <w:pPr>
        <w:spacing w:after="0" w:line="225"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Michael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A.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May 9,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Masoud Toloue</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Masoud Toloue</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May 9,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Doyle</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A. Doyle</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3" Type="http://schemas.openxmlformats.org/officeDocument/2006/relationships/hyperlink" Target="https://www.sec.gov/Archives/edgar/data/1503274/000110465917073618/a17-28479_1ex3d1.htm#Exhibit3_1.htm" TargetMode="External"/><Relationship Id="rId54" Type="http://schemas.openxmlformats.org/officeDocument/2006/relationships/hyperlink" Target="https://www.sec.gov/Archives/edgar/data/1503274/000110465917073618/a17-28479_1ex3d2.htm#Exhibit3_2.htm" TargetMode="External"/><Relationship Id="rId55" Type="http://schemas.openxmlformats.org/officeDocument/2006/relationships/hyperlink" Target="https://www.sec.gov/Archives/edgar/data/0001503274/000110465923037176/tm231057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2023-05-09T16:50:42Z</dcterms:created>
  <dcterms:modified xsi:type="dcterms:W3CDTF">2023-05-09T16:50:42Z</dcterms:modified>
</cp:coreProperties>
</file>