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7160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716010"/>
                    </a:xfrm>
                    <a:prstGeom prst="rect">
                      <a:avLst/>
                    </a:prstGeom>
                    <a:noFill/>
                  </pic:spPr>
                </pic:pic>
              </a:graphicData>
            </a:graphic>
          </wp:anchor>
        </w:drawing>
      </w:r>
    </w:p>
    <w:p>
      <w:pPr>
        <w:sectPr>
          <w:pgSz w:w="11900" w:h="1688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Miller Michael Francis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00" w:type="dxa"/>
            <w:vAlign w:val="bottom"/>
            <w:tcBorders>
              <w:top w:val="single" w:sz="8" w:color="0000EE"/>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02/23/2026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Quanterix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QTRX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8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QUANTERIX CORPORATION</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900 MIDDLESEX TURNPIKE</w:t>
            </w:r>
          </w:p>
        </w:tc>
      </w:tr>
      <w:tr>
        <w:trPr>
          <w:trHeight w:val="177"/>
        </w:trPr>
        <w:tc>
          <w:tcPr>
            <w:tcW w:w="7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BILLERICA MA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01821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8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00" w:type="dxa"/>
            <w:vAlign w:val="bottom"/>
          </w:tcPr>
          <w:p>
            <w:pPr>
              <w:jc w:val="center"/>
              <w:ind w:left="7"/>
              <w:spacing w:after="0"/>
              <w:rPr>
                <w:sz w:val="20"/>
                <w:szCs w:val="20"/>
                <w:color w:val="auto"/>
              </w:rPr>
            </w:pPr>
            <w:r>
              <w:rPr>
                <w:rFonts w:ascii="Times New Roman" w:cs="Times New Roman" w:eastAsia="Times New Roman" w:hAnsi="Times New Roman"/>
                <w:sz w:val="20"/>
                <w:szCs w:val="20"/>
                <w:color w:val="0000FF"/>
                <w:w w:val="94"/>
              </w:rPr>
              <w:t>30,262</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6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tcPr>
          <w:p>
            <w:pPr>
              <w:spacing w:after="0"/>
              <w:rPr>
                <w:sz w:val="14"/>
                <w:szCs w:val="14"/>
                <w:color w:val="auto"/>
              </w:rPr>
            </w:pPr>
          </w:p>
        </w:tc>
        <w:tc>
          <w:tcPr>
            <w:tcW w:w="94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Performance Stock Unit</w:t>
            </w:r>
          </w:p>
        </w:tc>
        <w:tc>
          <w:tcPr>
            <w:tcW w:w="128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8000"/>
                <w:w w:val="92"/>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12/31/2026</w:t>
            </w:r>
          </w:p>
        </w:tc>
        <w:tc>
          <w:tcPr>
            <w:tcW w:w="17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8"/>
              </w:rPr>
              <w:t>74,905</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0.00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w:t>
            </w:r>
          </w:p>
        </w:tc>
        <w:tc>
          <w:tcPr>
            <w:tcW w:w="128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8000"/>
                <w:w w:val="92"/>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17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7"/>
              <w:spacing w:after="0"/>
              <w:rPr>
                <w:sz w:val="20"/>
                <w:szCs w:val="20"/>
                <w:color w:val="auto"/>
              </w:rPr>
            </w:pPr>
            <w:r>
              <w:rPr>
                <w:rFonts w:ascii="Times New Roman" w:cs="Times New Roman" w:eastAsia="Times New Roman" w:hAnsi="Times New Roman"/>
                <w:sz w:val="20"/>
                <w:szCs w:val="20"/>
                <w:color w:val="0000FF"/>
                <w:w w:val="99"/>
              </w:rPr>
              <w:t>99</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0.00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w:t>
            </w:r>
          </w:p>
        </w:tc>
        <w:tc>
          <w:tcPr>
            <w:tcW w:w="128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8000"/>
                <w:w w:val="92"/>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9"/>
              </w:rPr>
              <w:t>809</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0.00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w:t>
            </w:r>
          </w:p>
        </w:tc>
        <w:tc>
          <w:tcPr>
            <w:tcW w:w="128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8000"/>
                <w:w w:val="92"/>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7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7"/>
              <w:spacing w:after="0"/>
              <w:rPr>
                <w:sz w:val="20"/>
                <w:szCs w:val="20"/>
                <w:color w:val="auto"/>
              </w:rPr>
            </w:pPr>
            <w:r>
              <w:rPr>
                <w:rFonts w:ascii="Times New Roman" w:cs="Times New Roman" w:eastAsia="Times New Roman" w:hAnsi="Times New Roman"/>
                <w:sz w:val="20"/>
                <w:szCs w:val="20"/>
                <w:color w:val="0000FF"/>
                <w:w w:val="97"/>
              </w:rPr>
              <w:t>1,003</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0.00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w:t>
            </w:r>
          </w:p>
        </w:tc>
        <w:tc>
          <w:tcPr>
            <w:tcW w:w="128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8000"/>
                <w:w w:val="92"/>
              </w:rPr>
              <w:t>(5)</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7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8"/>
              </w:rPr>
              <w:t>30,027</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0.00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w:t>
            </w:r>
          </w:p>
        </w:tc>
        <w:tc>
          <w:tcPr>
            <w:tcW w:w="128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8000"/>
                <w:w w:val="92"/>
              </w:rPr>
              <w:t>(6)</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(6)</w:t>
            </w:r>
          </w:p>
        </w:tc>
        <w:tc>
          <w:tcPr>
            <w:tcW w:w="17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8"/>
              </w:rPr>
              <w:t>10,061</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0.00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w:t>
            </w:r>
          </w:p>
        </w:tc>
        <w:tc>
          <w:tcPr>
            <w:tcW w:w="128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8000"/>
                <w:w w:val="92"/>
              </w:rPr>
              <w:t>(7)</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(7)</w:t>
            </w:r>
          </w:p>
        </w:tc>
        <w:tc>
          <w:tcPr>
            <w:tcW w:w="17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7"/>
              <w:spacing w:after="0"/>
              <w:rPr>
                <w:sz w:val="20"/>
                <w:szCs w:val="20"/>
                <w:color w:val="auto"/>
              </w:rPr>
            </w:pPr>
            <w:r>
              <w:rPr>
                <w:rFonts w:ascii="Times New Roman" w:cs="Times New Roman" w:eastAsia="Times New Roman" w:hAnsi="Times New Roman"/>
                <w:sz w:val="20"/>
                <w:szCs w:val="20"/>
                <w:color w:val="0000FF"/>
                <w:w w:val="97"/>
              </w:rPr>
              <w:t>3,251</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0.00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w:t>
            </w:r>
          </w:p>
        </w:tc>
        <w:tc>
          <w:tcPr>
            <w:tcW w:w="128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8000"/>
                <w:w w:val="92"/>
              </w:rPr>
              <w:t>(8)</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(8)</w:t>
            </w:r>
          </w:p>
        </w:tc>
        <w:tc>
          <w:tcPr>
            <w:tcW w:w="17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7"/>
              <w:spacing w:after="0"/>
              <w:rPr>
                <w:sz w:val="20"/>
                <w:szCs w:val="20"/>
                <w:color w:val="auto"/>
              </w:rPr>
            </w:pPr>
            <w:r>
              <w:rPr>
                <w:rFonts w:ascii="Times New Roman" w:cs="Times New Roman" w:eastAsia="Times New Roman" w:hAnsi="Times New Roman"/>
                <w:sz w:val="20"/>
                <w:szCs w:val="20"/>
                <w:color w:val="0000FF"/>
                <w:w w:val="97"/>
              </w:rPr>
              <w:t>1,797</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0.00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w:t>
            </w:r>
          </w:p>
        </w:tc>
        <w:tc>
          <w:tcPr>
            <w:tcW w:w="128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8000"/>
                <w:w w:val="92"/>
              </w:rPr>
              <w:t>(9)</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(9)</w:t>
            </w:r>
          </w:p>
        </w:tc>
        <w:tc>
          <w:tcPr>
            <w:tcW w:w="17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8"/>
              </w:rPr>
              <w:t>74,905</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0.00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8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8000"/>
              </w:rPr>
              <w:t>(10)</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07/28/2031</w:t>
            </w:r>
          </w:p>
        </w:tc>
        <w:tc>
          <w:tcPr>
            <w:tcW w:w="17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8"/>
              </w:rPr>
              <w:t>11,820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54.04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8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8000"/>
              </w:rPr>
              <w:t>(11)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04/07/2032</w:t>
            </w:r>
          </w:p>
        </w:tc>
        <w:tc>
          <w:tcPr>
            <w:tcW w:w="17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8"/>
              </w:rPr>
              <w:t>10,543</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29.62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8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8000"/>
              </w:rPr>
              <w:t>(12)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02/02/2034</w:t>
            </w:r>
          </w:p>
        </w:tc>
        <w:tc>
          <w:tcPr>
            <w:tcW w:w="17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8"/>
              </w:rPr>
              <w:t>21,852</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23.1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8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8000"/>
              </w:rPr>
              <w:t>(13)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05/21/2034</w:t>
            </w:r>
          </w:p>
        </w:tc>
        <w:tc>
          <w:tcPr>
            <w:tcW w:w="17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8"/>
              </w:rPr>
              <w:t>60,123</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16.78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8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8000"/>
              </w:rPr>
              <w:t>(14)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02/06/2033</w:t>
            </w:r>
          </w:p>
        </w:tc>
        <w:tc>
          <w:tcPr>
            <w:tcW w:w="17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7"/>
              <w:spacing w:after="0"/>
              <w:rPr>
                <w:sz w:val="20"/>
                <w:szCs w:val="20"/>
                <w:color w:val="auto"/>
              </w:rPr>
            </w:pPr>
            <w:r>
              <w:rPr>
                <w:rFonts w:ascii="Times New Roman" w:cs="Times New Roman" w:eastAsia="Times New Roman" w:hAnsi="Times New Roman"/>
                <w:sz w:val="20"/>
                <w:szCs w:val="20"/>
                <w:color w:val="0000FF"/>
                <w:w w:val="97"/>
              </w:rPr>
              <w:t>9,168</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14.89</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8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8000"/>
              </w:rPr>
              <w:t>(15)</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03/15/2033</w:t>
            </w:r>
          </w:p>
        </w:tc>
        <w:tc>
          <w:tcPr>
            <w:tcW w:w="17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8"/>
              </w:rPr>
              <w:t>15,320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11.89</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8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8000"/>
              </w:rPr>
              <w:t>(16)</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09/23/2032</w:t>
            </w:r>
          </w:p>
        </w:tc>
        <w:tc>
          <w:tcPr>
            <w:tcW w:w="17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8"/>
              </w:rPr>
              <w:t>14,649</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9.67</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8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8000"/>
              </w:rPr>
              <w:t>(17)</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02/04/2035</w:t>
            </w:r>
          </w:p>
        </w:tc>
        <w:tc>
          <w:tcPr>
            <w:tcW w:w="170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7"/>
              <w:spacing w:after="0"/>
              <w:rPr>
                <w:sz w:val="20"/>
                <w:szCs w:val="20"/>
                <w:color w:val="auto"/>
              </w:rPr>
            </w:pPr>
            <w:r>
              <w:rPr>
                <w:rFonts w:ascii="Times New Roman" w:cs="Times New Roman" w:eastAsia="Times New Roman" w:hAnsi="Times New Roman"/>
                <w:sz w:val="20"/>
                <w:szCs w:val="20"/>
                <w:color w:val="0000FF"/>
                <w:w w:val="98"/>
              </w:rPr>
              <w:t>131,147</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8.43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88" w:orient="portrait"/>
          <w:cols w:equalWidth="0" w:num="1">
            <w:col w:w="10940"/>
          </w:cols>
          <w:pgMar w:left="480" w:top="230" w:right="479" w:bottom="0" w:gutter="0" w:footer="0" w:header="0"/>
          <w:type w:val="continuous"/>
        </w:sectPr>
      </w:pPr>
    </w:p>
    <w:bookmarkStart w:id="1" w:name="page2"/>
    <w:bookmarkEnd w:id="1"/>
    <w:p>
      <w:pPr>
        <w:ind w:right="120" w:firstLine="5"/>
        <w:spacing w:after="0" w:line="23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February 15, 2026, the reporting person was granted 74,905 Performance Stock Units, with each PSU award to vest (subject to the employee's continued service to the Company on the applicable vesting dates) according to the schedule and conditions set forth in the executive long-term incentive plan contained in the Company's 2026 Employee Equity Guidelines. After the award's performance conditions are satisfied, the PSUs will vest in four equal annual installments on each of the first four anniversaries of the grant date</w:t>
      </w:r>
    </w:p>
    <w:p>
      <w:pPr>
        <w:spacing w:after="0" w:line="33" w:lineRule="exact"/>
        <w:rPr>
          <w:rFonts w:ascii="Times New Roman" w:cs="Times New Roman" w:eastAsia="Times New Roman" w:hAnsi="Times New Roman"/>
          <w:sz w:val="15"/>
          <w:szCs w:val="15"/>
          <w:color w:val="008000"/>
        </w:rPr>
      </w:pPr>
    </w:p>
    <w:p>
      <w:pPr>
        <w:ind w:firstLine="5"/>
        <w:spacing w:after="0" w:line="25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April 7, 2022, the reporting person was granted 4,518 restricted stock units, vesting 25% on the first anniversary of the grant date, with the remaining 75% vesting in 36 equal monthly installments on the final day of each month thereafter.</w:t>
      </w:r>
    </w:p>
    <w:p>
      <w:pPr>
        <w:spacing w:after="0" w:line="17"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September 23, 2022, the reporting person was granted 6,278 restricted stock units, vesting 25% on the first anniversary of the grant date, with the remaining 75% vesting in</w:t>
      </w:r>
    </w:p>
    <w:p>
      <w:pPr>
        <w:spacing w:after="0" w:line="8" w:lineRule="exact"/>
        <w:rPr>
          <w:rFonts w:ascii="Times New Roman" w:cs="Times New Roman" w:eastAsia="Times New Roman" w:hAnsi="Times New Roman"/>
          <w:sz w:val="15"/>
          <w:szCs w:val="15"/>
          <w:color w:val="008000"/>
        </w:rPr>
      </w:pPr>
    </w:p>
    <w:p>
      <w:pPr>
        <w:ind w:left="200" w:hanging="19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equal monthly installments on the final day of each month thereafter.</w:t>
      </w:r>
    </w:p>
    <w:p>
      <w:pPr>
        <w:spacing w:after="0" w:line="36" w:lineRule="exact"/>
        <w:rPr>
          <w:rFonts w:ascii="Times New Roman" w:cs="Times New Roman" w:eastAsia="Times New Roman" w:hAnsi="Times New Roman"/>
          <w:sz w:val="15"/>
          <w:szCs w:val="15"/>
          <w:color w:val="008000"/>
        </w:rPr>
      </w:pPr>
    </w:p>
    <w:p>
      <w:pPr>
        <w:ind w:right="140" w:firstLine="5"/>
        <w:spacing w:after="0" w:line="259"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February 6, 2023, the reporting person was granted 3,929 restricted stock units, vesting 25% on the first anniversary of the grant date, with the remaining 75% vesting in 36 equal monthly installments on the 15th day of each month thereafter.</w:t>
      </w:r>
    </w:p>
    <w:p>
      <w:pPr>
        <w:spacing w:after="0" w:line="17" w:lineRule="exact"/>
        <w:rPr>
          <w:rFonts w:ascii="Times New Roman" w:cs="Times New Roman" w:eastAsia="Times New Roman" w:hAnsi="Times New Roman"/>
          <w:sz w:val="15"/>
          <w:szCs w:val="15"/>
          <w:color w:val="008000"/>
        </w:rPr>
      </w:pPr>
    </w:p>
    <w:p>
      <w:pPr>
        <w:ind w:right="60" w:firstLine="5"/>
        <w:spacing w:after="0" w:line="259"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February 4, 2025, the reporting person was granted 40,036 restricted stock units, vesting 25% on the first anniversary of the grant date, with the remaining 75% vesting in 36 equal monthly installments on the 15th day of each month thereafter.</w:t>
      </w:r>
    </w:p>
    <w:p>
      <w:pPr>
        <w:spacing w:after="0" w:line="17" w:lineRule="exact"/>
        <w:rPr>
          <w:rFonts w:ascii="Times New Roman" w:cs="Times New Roman" w:eastAsia="Times New Roman" w:hAnsi="Times New Roman"/>
          <w:sz w:val="15"/>
          <w:szCs w:val="15"/>
          <w:color w:val="008000"/>
        </w:rPr>
      </w:pPr>
    </w:p>
    <w:p>
      <w:pPr>
        <w:ind w:right="260" w:firstLine="5"/>
        <w:spacing w:after="0" w:line="259"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May 21, 2024, the reporting person was granted 17,878 restricted stock units, vesting 25% on the first anniversary of the grant date, with the remaining 75% vesting in 36 equal monthly installments on the 15th day of each month thereafter.</w:t>
      </w:r>
    </w:p>
    <w:p>
      <w:pPr>
        <w:spacing w:after="0" w:line="17" w:lineRule="exact"/>
        <w:rPr>
          <w:rFonts w:ascii="Times New Roman" w:cs="Times New Roman" w:eastAsia="Times New Roman" w:hAnsi="Times New Roman"/>
          <w:sz w:val="15"/>
          <w:szCs w:val="15"/>
          <w:color w:val="008000"/>
        </w:rPr>
      </w:pPr>
    </w:p>
    <w:p>
      <w:pPr>
        <w:ind w:right="140" w:firstLine="5"/>
        <w:spacing w:after="0" w:line="259"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February 2, 2024, the reporting person was granted 6,494 restricted stock units, vesting 25% on the first anniversary of the grant date, with the remaining 75% vesting in 36 equal monthly installments on the 15th day of each month thereafter.</w:t>
      </w:r>
    </w:p>
    <w:p>
      <w:pPr>
        <w:spacing w:after="0" w:line="17" w:lineRule="exact"/>
        <w:rPr>
          <w:rFonts w:ascii="Times New Roman" w:cs="Times New Roman" w:eastAsia="Times New Roman" w:hAnsi="Times New Roman"/>
          <w:sz w:val="15"/>
          <w:szCs w:val="15"/>
          <w:color w:val="008000"/>
        </w:rPr>
      </w:pPr>
    </w:p>
    <w:p>
      <w:pPr>
        <w:ind w:right="220" w:firstLine="5"/>
        <w:spacing w:after="0" w:line="259"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March 15, 2023, the reporting person was granted 6,566 restricted stock units, vesting 25% on the first anniversary of the grant date, with the remaining 75% vesting in 36 equal monthly installments on the 15th day of each month thereafter.</w:t>
      </w:r>
    </w:p>
    <w:p>
      <w:pPr>
        <w:spacing w:after="0" w:line="17"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February 15, 2026, the reporting person was granted 74,905 restricted stock units, vesting 25% per year for four years.</w:t>
      </w:r>
    </w:p>
    <w:p>
      <w:pPr>
        <w:spacing w:after="0" w:line="52" w:lineRule="exact"/>
        <w:rPr>
          <w:rFonts w:ascii="Times New Roman" w:cs="Times New Roman" w:eastAsia="Times New Roman" w:hAnsi="Times New Roman"/>
          <w:sz w:val="15"/>
          <w:szCs w:val="15"/>
          <w:color w:val="008000"/>
        </w:rPr>
      </w:pPr>
    </w:p>
    <w:p>
      <w:pPr>
        <w:ind w:right="300" w:firstLine="5"/>
        <w:spacing w:after="0" w:line="259" w:lineRule="auto"/>
        <w:tabs>
          <w:tab w:leader="none" w:pos="225"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July 28, 2021, the reporting person was granted 11,820 stock options, vesting 25% on the first anniversary of the grant date, with the remaining 75% vesting in 36 equal monthly installments on the final day of each month thereafter.</w:t>
      </w:r>
    </w:p>
    <w:p>
      <w:pPr>
        <w:spacing w:after="0" w:line="17" w:lineRule="exact"/>
        <w:rPr>
          <w:rFonts w:ascii="Times New Roman" w:cs="Times New Roman" w:eastAsia="Times New Roman" w:hAnsi="Times New Roman"/>
          <w:sz w:val="15"/>
          <w:szCs w:val="15"/>
          <w:color w:val="008000"/>
        </w:rPr>
      </w:pPr>
    </w:p>
    <w:p>
      <w:pPr>
        <w:ind w:right="300" w:firstLine="5"/>
        <w:spacing w:after="0" w:line="259" w:lineRule="auto"/>
        <w:tabs>
          <w:tab w:leader="none" w:pos="22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April 7, 2022, the reporting person was granted 10,543 stock options, vesting 25% on the first anniversary of the grant date, with the remaining 75% vesting in 36 equal monthly installments on the final day of each month thereafter.</w:t>
      </w:r>
    </w:p>
    <w:p>
      <w:pPr>
        <w:spacing w:after="0" w:line="17" w:lineRule="exact"/>
        <w:rPr>
          <w:rFonts w:ascii="Times New Roman" w:cs="Times New Roman" w:eastAsia="Times New Roman" w:hAnsi="Times New Roman"/>
          <w:sz w:val="15"/>
          <w:szCs w:val="15"/>
          <w:color w:val="008000"/>
        </w:rPr>
      </w:pPr>
    </w:p>
    <w:p>
      <w:pPr>
        <w:ind w:right="80" w:firstLine="5"/>
        <w:spacing w:after="0" w:line="259" w:lineRule="auto"/>
        <w:tabs>
          <w:tab w:leader="none" w:pos="225"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February 2, 2024, the reporting person was granted 21,852 stock options, vesting 25% on the first anniversary of the grant date, with the remaining 75% vesting in 36 equal monthly installments on the final day of each month thereafter.</w:t>
      </w:r>
    </w:p>
    <w:p>
      <w:pPr>
        <w:spacing w:after="0" w:line="17" w:lineRule="exact"/>
        <w:rPr>
          <w:rFonts w:ascii="Times New Roman" w:cs="Times New Roman" w:eastAsia="Times New Roman" w:hAnsi="Times New Roman"/>
          <w:sz w:val="15"/>
          <w:szCs w:val="15"/>
          <w:color w:val="008000"/>
        </w:rPr>
      </w:pPr>
    </w:p>
    <w:p>
      <w:pPr>
        <w:ind w:right="260" w:firstLine="5"/>
        <w:spacing w:after="0" w:line="259" w:lineRule="auto"/>
        <w:tabs>
          <w:tab w:leader="none" w:pos="225"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May 21, 2024, the reporting person was granted 60,123 stock options, vesting 25% on the first anniversary of the grant date, with the remaining 75% vesting in 36 equal monthly installments on the final day of each month thereafter.</w:t>
      </w:r>
    </w:p>
    <w:p>
      <w:pPr>
        <w:spacing w:after="0" w:line="17" w:lineRule="exact"/>
        <w:rPr>
          <w:rFonts w:ascii="Times New Roman" w:cs="Times New Roman" w:eastAsia="Times New Roman" w:hAnsi="Times New Roman"/>
          <w:sz w:val="15"/>
          <w:szCs w:val="15"/>
          <w:color w:val="008000"/>
        </w:rPr>
      </w:pPr>
    </w:p>
    <w:p>
      <w:pPr>
        <w:ind w:right="140" w:firstLine="5"/>
        <w:spacing w:after="0" w:line="259" w:lineRule="auto"/>
        <w:tabs>
          <w:tab w:leader="none" w:pos="225"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February 6, 2023, the reporting person was granted 9,168 stock options, vesting 25% on the first anniversary of the grant date, with the remaining 75% vesting in 36 equal monthly installments on the final day of each month thereafter.</w:t>
      </w:r>
    </w:p>
    <w:p>
      <w:pPr>
        <w:spacing w:after="0" w:line="17" w:lineRule="exact"/>
        <w:rPr>
          <w:rFonts w:ascii="Times New Roman" w:cs="Times New Roman" w:eastAsia="Times New Roman" w:hAnsi="Times New Roman"/>
          <w:sz w:val="15"/>
          <w:szCs w:val="15"/>
          <w:color w:val="008000"/>
        </w:rPr>
      </w:pPr>
    </w:p>
    <w:p>
      <w:pPr>
        <w:ind w:right="140" w:firstLine="5"/>
        <w:spacing w:after="0" w:line="259" w:lineRule="auto"/>
        <w:tabs>
          <w:tab w:leader="none" w:pos="225"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March 15, 2023, the reporting person was granted 15,320 stock options, vesting 25% on the first anniversary of the grant date, with the remaining 75% vesting in 36 equal monthly installments on the final day of each month thereafter.</w:t>
      </w:r>
    </w:p>
    <w:p>
      <w:pPr>
        <w:spacing w:after="0" w:line="17" w:lineRule="exact"/>
        <w:rPr>
          <w:rFonts w:ascii="Times New Roman" w:cs="Times New Roman" w:eastAsia="Times New Roman" w:hAnsi="Times New Roman"/>
          <w:sz w:val="15"/>
          <w:szCs w:val="15"/>
          <w:color w:val="008000"/>
        </w:rPr>
      </w:pPr>
    </w:p>
    <w:p>
      <w:pPr>
        <w:ind w:right="260" w:firstLine="5"/>
        <w:spacing w:after="0" w:line="259" w:lineRule="auto"/>
        <w:tabs>
          <w:tab w:leader="none" w:pos="225"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September 23, 2022, the reporting person was granted 14,649 stock options, vesting 25% on the first anniversary of the grant date, with the remaining 75% vesting in 36 equal monthly installments on the final day of each month thereafter.</w:t>
      </w:r>
    </w:p>
    <w:p>
      <w:pPr>
        <w:spacing w:after="0" w:line="17" w:lineRule="exact"/>
        <w:rPr>
          <w:rFonts w:ascii="Times New Roman" w:cs="Times New Roman" w:eastAsia="Times New Roman" w:hAnsi="Times New Roman"/>
          <w:sz w:val="15"/>
          <w:szCs w:val="15"/>
          <w:color w:val="008000"/>
        </w:rPr>
      </w:pPr>
    </w:p>
    <w:p>
      <w:pPr>
        <w:ind w:firstLine="5"/>
        <w:spacing w:after="0" w:line="259" w:lineRule="auto"/>
        <w:tabs>
          <w:tab w:leader="none" w:pos="225"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February 4, 2025, the reporting person was granted 131,147 stock options, vesting 25% on the first anniversary of the grant date, with the remaining 75% vesting in 36 equal monthly installments on the final day of each month thereafter.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Bonnie McManus,</w:t>
            </w:r>
          </w:p>
        </w:tc>
        <w:tc>
          <w:tcPr>
            <w:tcW w:w="5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03/05/2026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80" w:firstLine="5"/>
        <w:spacing w:after="0" w:line="335"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40"/>
          </w:cols>
          <w:pgMar w:left="520" w:top="140" w:right="53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Daniel Char, Michael Lanieri, Bonnie McManus, and Meghan Shevlin as the undersigned's true and lawful attorney-in-fact to:</w:t>
      </w:r>
    </w:p>
    <w:p>
      <w:pPr>
        <w:spacing w:after="0" w:line="87" w:lineRule="exact"/>
        <w:rPr>
          <w:sz w:val="20"/>
          <w:szCs w:val="20"/>
          <w:color w:val="auto"/>
        </w:rPr>
      </w:pPr>
    </w:p>
    <w:p>
      <w:pPr>
        <w:ind w:right="2259"/>
        <w:spacing w:after="0" w:line="294" w:lineRule="auto"/>
        <w:rPr>
          <w:sz w:val="20"/>
          <w:szCs w:val="20"/>
          <w:color w:val="auto"/>
        </w:rPr>
      </w:pPr>
      <w:r>
        <w:rPr>
          <w:rFonts w:ascii="Courier New" w:cs="Courier New" w:eastAsia="Courier New" w:hAnsi="Courier New"/>
          <w:sz w:val="18"/>
          <w:szCs w:val="18"/>
          <w:color w:val="auto"/>
        </w:rPr>
        <w:t>execute for and on behalf of the undersigned, in the undersigned's capacity as a beneficial owner of Quanterix Corporation (the "Company"), Forms 3, 4, and 5 in accordance with Section 16(a) of the Securities Exchange Act of 1934 and the rules thereunder and Schedules 13D and 13G in accordance with Section 13 of the Securities Exchange Act of 1934 and the rules thereunder;</w:t>
      </w:r>
    </w:p>
    <w:p>
      <w:pPr>
        <w:spacing w:after="0" w:line="77"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or Schedules 13D or 13G, complete and execute any amendment or amendments thereto, and timely file such form with the U.S. Securities and Exchange Commission (the "SEC") and any securities exchange or similar authority; and</w:t>
      </w:r>
    </w:p>
    <w:p>
      <w:pPr>
        <w:spacing w:after="0" w:line="103" w:lineRule="exact"/>
        <w:rPr>
          <w:sz w:val="20"/>
          <w:szCs w:val="20"/>
          <w:color w:val="auto"/>
        </w:rPr>
      </w:pPr>
    </w:p>
    <w:p>
      <w:pPr>
        <w:ind w:right="2139"/>
        <w:spacing w:after="0" w:line="254" w:lineRule="auto"/>
        <w:rPr>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20"/>
          <w:szCs w:val="20"/>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also ratifies hereby any action previously taken by each attorney-in-fact that would have been authorized by this power of attorney if it had been in effect at the time such action was taken. The undersigned acknowledges that each foregoing attorney-in-fact, in serving in such capacity at the request of the undersigned, is not assuming, nor is the Company assuming, any of the undersigned's responsibilities to comply with Sections 13 and 16 of the Securities Exchange Act of 1934.</w:t>
      </w:r>
    </w:p>
    <w:p>
      <w:pPr>
        <w:spacing w:after="0" w:line="131" w:lineRule="exact"/>
        <w:rPr>
          <w:sz w:val="20"/>
          <w:szCs w:val="20"/>
          <w:color w:val="auto"/>
        </w:rPr>
      </w:pPr>
    </w:p>
    <w:p>
      <w:pPr>
        <w:ind w:right="2379"/>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and Schedules 13D and 13G with respect to the undersigned's holdings of and transactions in securities issued by the Company, unless earlier revoked by the undersigned in a signed writing delivered to each foregoing attorney-in-fact.</w:t>
      </w:r>
    </w:p>
    <w:p>
      <w:pPr>
        <w:spacing w:after="0" w:line="103" w:lineRule="exact"/>
        <w:rPr>
          <w:sz w:val="20"/>
          <w:szCs w:val="20"/>
          <w:color w:val="auto"/>
        </w:rPr>
      </w:pPr>
    </w:p>
    <w:p>
      <w:pPr>
        <w:ind w:right="18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17th day of February 2026.</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Michael F. Miller name: Michael Miller</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36"/>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0516" TargetMode="External"/><Relationship Id="rId11" Type="http://schemas.openxmlformats.org/officeDocument/2006/relationships/hyperlink" Target="http://www.sec.gov/cgi-bin/browse-edgar?action=getcompany&amp;CIK=00015032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2026-03-17T17:58:02Z</dcterms:created>
  <dcterms:modified xsi:type="dcterms:W3CDTF">2026-03-17T17:58:02Z</dcterms:modified>
</cp:coreProperties>
</file>