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115570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161290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7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40" w:hanging="330"/>
        <w:spacing w:after="0" w:line="236" w:lineRule="auto"/>
        <w:tabs>
          <w:tab w:leader="none" w:pos="3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340" w:hanging="330"/>
        <w:spacing w:after="0" w:line="256" w:lineRule="auto"/>
        <w:tabs>
          <w:tab w:leader="none" w:pos="3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p>
      <w:pPr>
        <w:ind w:left="3340"/>
        <w:spacing w:after="0"/>
        <w:tabs>
          <w:tab w:leader="none" w:pos="6200" w:val="left"/>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146050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QUANTERIX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124460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right"/>
              <w:ind w:right="475"/>
              <w:spacing w:after="0"/>
              <w:rPr>
                <w:sz w:val="20"/>
                <w:szCs w:val="20"/>
                <w:color w:val="auto"/>
              </w:rPr>
            </w:pPr>
            <w:r>
              <w:rPr>
                <w:rFonts w:ascii="Arial" w:cs="Arial" w:eastAsia="Arial" w:hAnsi="Arial"/>
                <w:sz w:val="18"/>
                <w:szCs w:val="18"/>
                <w:b w:val="1"/>
                <w:bCs w:val="1"/>
                <w:color w:val="auto"/>
              </w:rPr>
              <w:t>20-8957988</w:t>
            </w:r>
          </w:p>
        </w:tc>
      </w:tr>
      <w:tr>
        <w:trPr>
          <w:trHeight w:val="182"/>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20" w:type="dxa"/>
            <w:vAlign w:val="bottom"/>
          </w:tcPr>
          <w:p>
            <w:pPr>
              <w:jc w:val="center"/>
              <w:ind w:left="1155"/>
              <w:spacing w:after="0"/>
              <w:rPr>
                <w:sz w:val="20"/>
                <w:szCs w:val="20"/>
                <w:color w:val="auto"/>
              </w:rPr>
            </w:pPr>
            <w:r>
              <w:rPr>
                <w:rFonts w:ascii="Arial" w:cs="Arial" w:eastAsia="Arial" w:hAnsi="Arial"/>
                <w:sz w:val="14"/>
                <w:szCs w:val="14"/>
                <w:color w:val="auto"/>
                <w:w w:val="97"/>
              </w:rPr>
              <w:t>(IRS Employer Identification No.)</w:t>
            </w:r>
          </w:p>
        </w:tc>
      </w:tr>
      <w:tr>
        <w:trPr>
          <w:trHeight w:val="304"/>
        </w:trPr>
        <w:tc>
          <w:tcPr>
            <w:tcW w:w="470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900 Middlesex Turnpike</w:t>
            </w:r>
          </w:p>
        </w:tc>
        <w:tc>
          <w:tcPr>
            <w:tcW w:w="3220" w:type="dxa"/>
            <w:vAlign w:val="bottom"/>
          </w:tcPr>
          <w:p>
            <w:pPr>
              <w:spacing w:after="0"/>
              <w:rPr>
                <w:sz w:val="24"/>
                <w:szCs w:val="24"/>
                <w:color w:val="auto"/>
              </w:rPr>
            </w:pPr>
          </w:p>
        </w:tc>
      </w:tr>
      <w:tr>
        <w:trPr>
          <w:trHeight w:val="216"/>
        </w:trPr>
        <w:tc>
          <w:tcPr>
            <w:tcW w:w="4700" w:type="dxa"/>
            <w:vAlign w:val="bottom"/>
          </w:tcPr>
          <w:p>
            <w:pPr>
              <w:jc w:val="center"/>
              <w:ind w:right="1177"/>
              <w:spacing w:after="0"/>
              <w:rPr>
                <w:sz w:val="20"/>
                <w:szCs w:val="20"/>
                <w:color w:val="auto"/>
              </w:rPr>
            </w:pPr>
            <w:r>
              <w:rPr>
                <w:rFonts w:ascii="Arial" w:cs="Arial" w:eastAsia="Arial" w:hAnsi="Arial"/>
                <w:sz w:val="18"/>
                <w:szCs w:val="18"/>
                <w:b w:val="1"/>
                <w:bCs w:val="1"/>
                <w:color w:val="auto"/>
                <w:w w:val="96"/>
              </w:rPr>
              <w:t>Billerica, MA</w:t>
            </w:r>
          </w:p>
        </w:tc>
        <w:tc>
          <w:tcPr>
            <w:tcW w:w="3220" w:type="dxa"/>
            <w:vAlign w:val="bottom"/>
          </w:tcPr>
          <w:p>
            <w:pPr>
              <w:jc w:val="right"/>
              <w:ind w:right="675"/>
              <w:spacing w:after="0"/>
              <w:rPr>
                <w:sz w:val="20"/>
                <w:szCs w:val="20"/>
                <w:color w:val="auto"/>
              </w:rPr>
            </w:pPr>
            <w:r>
              <w:rPr>
                <w:rFonts w:ascii="Arial" w:cs="Arial" w:eastAsia="Arial" w:hAnsi="Arial"/>
                <w:sz w:val="18"/>
                <w:szCs w:val="18"/>
                <w:b w:val="1"/>
                <w:bCs w:val="1"/>
                <w:color w:val="auto"/>
              </w:rPr>
              <w:t>01821</w:t>
            </w:r>
          </w:p>
        </w:tc>
      </w:tr>
      <w:tr>
        <w:trPr>
          <w:trHeight w:val="235"/>
        </w:trPr>
        <w:tc>
          <w:tcPr>
            <w:tcW w:w="4700" w:type="dxa"/>
            <w:vAlign w:val="bottom"/>
          </w:tcPr>
          <w:p>
            <w:pPr>
              <w:jc w:val="center"/>
              <w:ind w:right="1177"/>
              <w:spacing w:after="0"/>
              <w:rPr>
                <w:sz w:val="20"/>
                <w:szCs w:val="20"/>
                <w:color w:val="auto"/>
              </w:rPr>
            </w:pPr>
            <w:r>
              <w:rPr>
                <w:rFonts w:ascii="Arial" w:cs="Arial" w:eastAsia="Arial" w:hAnsi="Arial"/>
                <w:sz w:val="14"/>
                <w:szCs w:val="14"/>
                <w:color w:val="auto"/>
                <w:w w:val="95"/>
              </w:rPr>
              <w:t>(Address of principal executive offices)</w:t>
            </w:r>
          </w:p>
        </w:tc>
        <w:tc>
          <w:tcPr>
            <w:tcW w:w="3220" w:type="dxa"/>
            <w:vAlign w:val="bottom"/>
          </w:tcPr>
          <w:p>
            <w:pPr>
              <w:jc w:val="center"/>
              <w:ind w:left="1155"/>
              <w:spacing w:after="0"/>
              <w:rPr>
                <w:sz w:val="20"/>
                <w:szCs w:val="20"/>
                <w:color w:val="auto"/>
              </w:rPr>
            </w:pPr>
            <w:r>
              <w:rPr>
                <w:rFonts w:ascii="Arial" w:cs="Arial" w:eastAsia="Arial" w:hAnsi="Arial"/>
                <w:sz w:val="18"/>
                <w:szCs w:val="18"/>
                <w:color w:val="auto"/>
                <w:w w:val="91"/>
              </w:rPr>
              <w:t>(Zip Code)</w:t>
            </w:r>
          </w:p>
        </w:tc>
      </w:tr>
    </w:tbl>
    <w:p>
      <w:pPr>
        <w:spacing w:after="0" w:line="4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85725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 of each class:</w:t>
            </w:r>
          </w:p>
        </w:tc>
        <w:tc>
          <w:tcPr>
            <w:tcW w:w="2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60" w:type="dxa"/>
            <w:vAlign w:val="bottom"/>
          </w:tcPr>
          <w:p>
            <w:pPr>
              <w:spacing w:after="0"/>
              <w:rPr>
                <w:sz w:val="19"/>
                <w:szCs w:val="19"/>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QTRX</w:t>
            </w:r>
          </w:p>
        </w:tc>
        <w:tc>
          <w:tcPr>
            <w:tcW w:w="16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5" w:lineRule="exact"/>
        <w:rPr>
          <w:sz w:val="24"/>
          <w:szCs w:val="24"/>
          <w:color w:val="auto"/>
        </w:rPr>
      </w:pPr>
    </w:p>
    <w:p>
      <w:pPr>
        <w:ind w:left="20" w:right="260" w:firstLine="51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42" w:lineRule="exact"/>
        <w:tabs>
          <w:tab w:leader="none" w:pos="5080" w:val="left"/>
          <w:tab w:leader="none" w:pos="58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ab/>
        <w:t xml:space="preserve">No </w:t>
      </w:r>
      <w:r>
        <w:rPr>
          <w:rFonts w:ascii="Arial Unicode MS" w:cs="Arial Unicode MS" w:eastAsia="Arial Unicode MS" w:hAnsi="Arial Unicode MS"/>
          <w:sz w:val="18"/>
          <w:szCs w:val="18"/>
          <w:color w:val="auto"/>
        </w:rPr>
        <w:t>☐</w:t>
      </w:r>
    </w:p>
    <w:p>
      <w:pPr>
        <w:spacing w:after="0" w:line="20" w:lineRule="exact"/>
        <w:rPr>
          <w:sz w:val="24"/>
          <w:szCs w:val="24"/>
          <w:color w:val="auto"/>
        </w:rPr>
      </w:pPr>
    </w:p>
    <w:p>
      <w:pPr>
        <w:jc w:val="both"/>
        <w:ind w:left="20" w:right="5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left="20" w:right="260" w:firstLine="51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28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280"/>
              <w:spacing w:after="0" w:line="230" w:lineRule="exact"/>
              <w:rPr>
                <w:sz w:val="20"/>
                <w:szCs w:val="20"/>
                <w:color w:val="auto"/>
              </w:rPr>
            </w:pPr>
            <w:r>
              <w:rPr>
                <w:rFonts w:ascii="Arial Unicode MS" w:cs="Arial Unicode MS" w:eastAsia="Arial Unicode MS" w:hAnsi="Arial Unicode MS"/>
                <w:sz w:val="18"/>
                <w:szCs w:val="18"/>
                <w:color w:val="auto"/>
              </w:rPr>
              <w:t>☒</w:t>
            </w:r>
          </w:p>
        </w:tc>
        <w:tc>
          <w:tcPr>
            <w:tcW w:w="484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230"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18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4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33" w:lineRule="exact"/>
        <w:rPr>
          <w:sz w:val="24"/>
          <w:szCs w:val="24"/>
          <w:color w:val="auto"/>
        </w:rPr>
      </w:pPr>
    </w:p>
    <w:p>
      <w:pPr>
        <w:ind w:left="20" w:right="1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color w:val="auto"/>
        </w:rPr>
        <w:t>☐</w:t>
      </w:r>
    </w:p>
    <w:p>
      <w:pPr>
        <w:spacing w:after="0" w:line="1" w:lineRule="exact"/>
        <w:rPr>
          <w:sz w:val="24"/>
          <w:szCs w:val="24"/>
          <w:color w:val="auto"/>
        </w:rPr>
      </w:pPr>
    </w:p>
    <w:p>
      <w:pPr>
        <w:ind w:left="20"/>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30, 2021, the registrant had 36,336,598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554990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533"/>
        </w:trPr>
        <w:tc>
          <w:tcPr>
            <w:tcW w:w="38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Special Note Regarding Forward-Looking Statements</w:t>
              </w:r>
            </w:hyperlink>
          </w:p>
        </w:tc>
        <w:tc>
          <w:tcPr>
            <w:tcW w:w="464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2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tcBorders>
              <w:bottom w:val="single" w:sz="8" w:color="0000EE"/>
            </w:tcBorders>
            <w:gridSpan w:val="8"/>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4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r>
      <w:tr>
        <w:trPr>
          <w:trHeight w:val="412"/>
        </w:trPr>
        <w:tc>
          <w:tcPr>
            <w:tcW w:w="20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68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Balance Sheets at March 31, 2021 and December 31, 2020</w:t>
              </w:r>
            </w:hyperlink>
          </w:p>
        </w:tc>
        <w:tc>
          <w:tcPr>
            <w:tcW w:w="12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Operations for the Three Months Ended March 31, 2021 and</w:t>
              </w:r>
            </w:hyperlink>
          </w:p>
        </w:tc>
        <w:tc>
          <w:tcPr>
            <w:tcW w:w="380" w:type="dxa"/>
            <w:vAlign w:val="bottom"/>
          </w:tcPr>
          <w:p>
            <w:pPr>
              <w:spacing w:after="0"/>
              <w:rPr>
                <w:sz w:val="17"/>
                <w:szCs w:val="17"/>
                <w:color w:val="auto"/>
              </w:rPr>
            </w:pPr>
          </w:p>
        </w:tc>
      </w:tr>
      <w:tr>
        <w:trPr>
          <w:trHeight w:val="196"/>
        </w:trPr>
        <w:tc>
          <w:tcPr>
            <w:tcW w:w="460" w:type="dxa"/>
            <w:vAlign w:val="bottom"/>
            <w:gridSpan w:val="2"/>
          </w:tcPr>
          <w:p>
            <w:pPr>
              <w:spacing w:after="0"/>
              <w:rPr>
                <w:sz w:val="17"/>
                <w:szCs w:val="17"/>
                <w:color w:val="auto"/>
              </w:rPr>
            </w:pPr>
          </w:p>
        </w:tc>
        <w:tc>
          <w:tcPr>
            <w:tcW w:w="560" w:type="dxa"/>
            <w:vAlign w:val="bottom"/>
            <w:tcBorders>
              <w:top w:val="single" w:sz="8" w:color="0000EE"/>
            </w:tcBorders>
            <w:gridSpan w:val="3"/>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Comprehensive Loss for the Three Months Ended March 31,</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8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2021 and 2020</w:t>
              </w:r>
            </w:hyperlink>
          </w:p>
        </w:tc>
        <w:tc>
          <w:tcPr>
            <w:tcW w:w="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Unaudited Condensed Consolidated Statements of Cash Flows for the Three Months Ended March 31, 2021</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2020</w:t>
              </w:r>
            </w:hyperlink>
          </w:p>
        </w:tc>
        <w:tc>
          <w:tcPr>
            <w:tcW w:w="3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Consolidated Statements of Stockholders’ Equity for the Three Months Ended March 31,</w:t>
              </w:r>
            </w:hyperlink>
          </w:p>
        </w:tc>
        <w:tc>
          <w:tcPr>
            <w:tcW w:w="380" w:type="dxa"/>
            <w:vAlign w:val="bottom"/>
          </w:tcPr>
          <w:p>
            <w:pPr>
              <w:spacing w:after="0"/>
              <w:rPr>
                <w:sz w:val="17"/>
                <w:szCs w:val="17"/>
                <w:color w:val="auto"/>
              </w:rPr>
            </w:pPr>
          </w:p>
        </w:tc>
      </w:tr>
      <w:tr>
        <w:trPr>
          <w:trHeight w:val="196"/>
        </w:trPr>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78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2021 and 2020</w:t>
              </w:r>
            </w:hyperlink>
          </w:p>
        </w:tc>
        <w:tc>
          <w:tcPr>
            <w:tcW w:w="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4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080" w:type="dxa"/>
            <w:vAlign w:val="bottom"/>
            <w:gridSpan w:val="2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44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8520" w:type="dxa"/>
            <w:vAlign w:val="bottom"/>
            <w:gridSpan w:val="2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4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15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8520" w:type="dxa"/>
            <w:vAlign w:val="bottom"/>
            <w:gridSpan w:val="2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40" w:type="dxa"/>
            <w:vAlign w:val="bottom"/>
            <w:gridSpan w:val="14"/>
          </w:tcPr>
          <w:p>
            <w:pPr>
              <w:jc w:val="center"/>
              <w:ind w:right="2800"/>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380" w:type="dxa"/>
            <w:vAlign w:val="bottom"/>
          </w:tcPr>
          <w:p>
            <w:pPr>
              <w:spacing w:after="0"/>
              <w:rPr>
                <w:sz w:val="24"/>
                <w:szCs w:val="24"/>
                <w:color w:val="auto"/>
              </w:rPr>
            </w:pPr>
          </w:p>
        </w:tc>
      </w:tr>
      <w:tr>
        <w:trPr>
          <w:trHeight w:val="412"/>
        </w:trPr>
        <w:tc>
          <w:tcPr>
            <w:tcW w:w="2780" w:type="dxa"/>
            <w:vAlign w:val="bottom"/>
            <w:gridSpan w:val="1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 Legal Proceedings</w:t>
              </w:r>
            </w:hyperlink>
          </w:p>
        </w:tc>
        <w:tc>
          <w:tcPr>
            <w:tcW w:w="2940" w:type="dxa"/>
            <w:vAlign w:val="bottom"/>
            <w:tcBorders>
              <w:top w:val="single" w:sz="8" w:color="0000EE"/>
            </w:tcBorders>
            <w:gridSpan w:val="6"/>
          </w:tcPr>
          <w:p>
            <w:pPr>
              <w:spacing w:after="0"/>
              <w:rPr>
                <w:sz w:val="24"/>
                <w:szCs w:val="24"/>
                <w:color w:val="auto"/>
              </w:rPr>
            </w:pPr>
          </w:p>
        </w:tc>
        <w:tc>
          <w:tcPr>
            <w:tcW w:w="28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880" w:type="dxa"/>
            <w:vAlign w:val="bottom"/>
            <w:tcBorders>
              <w:top w:val="single" w:sz="8" w:color="0000EE"/>
            </w:tcBorders>
            <w:gridSpan w:val="1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 Risk Factors</w:t>
              </w:r>
            </w:hyperlink>
          </w:p>
        </w:tc>
        <w:tc>
          <w:tcPr>
            <w:tcW w:w="664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2. Unregistered Sales of Equity Securities and Use of Proceeds</w:t>
              </w:r>
            </w:hyperlink>
          </w:p>
        </w:tc>
        <w:tc>
          <w:tcPr>
            <w:tcW w:w="36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8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 Defaults Upon Senior Securities</w:t>
              </w:r>
            </w:hyperlink>
          </w:p>
        </w:tc>
        <w:tc>
          <w:tcPr>
            <w:tcW w:w="56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23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 Mine Safety Disclosures</w:t>
              </w:r>
            </w:hyperlink>
          </w:p>
        </w:tc>
        <w:tc>
          <w:tcPr>
            <w:tcW w:w="62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8520" w:type="dxa"/>
            <w:vAlign w:val="bottom"/>
            <w:gridSpan w:val="2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 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1860" w:type="dxa"/>
            <w:vAlign w:val="bottom"/>
            <w:tcBorders>
              <w:top w:val="single" w:sz="8" w:color="0000EE"/>
            </w:tcBorders>
            <w:gridSpan w:val="1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66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2"/>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Signatures</w:t>
              </w:r>
            </w:hyperlink>
          </w:p>
        </w:tc>
        <w:tc>
          <w:tcPr>
            <w:tcW w:w="380" w:type="dxa"/>
            <w:vAlign w:val="bottom"/>
            <w:tcBorders>
              <w:top w:val="single" w:sz="8" w:color="0000EE"/>
            </w:tcBorders>
            <w:gridSpan w:val="2"/>
          </w:tcPr>
          <w:p>
            <w:pPr>
              <w:spacing w:after="0"/>
              <w:rPr>
                <w:sz w:val="24"/>
                <w:szCs w:val="24"/>
                <w:color w:val="auto"/>
              </w:rPr>
            </w:pPr>
          </w:p>
        </w:tc>
        <w:tc>
          <w:tcPr>
            <w:tcW w:w="7380" w:type="dxa"/>
            <w:vAlign w:val="bottom"/>
            <w:gridSpan w:val="2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3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2020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87"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events or circumstances reflected in the forward-looking statements will be achieved or occur. You 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6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and its subsidiaries. “Quanterix,” “Simoa,” “Simoa HD-X,” “Simoa HD-1,” “SR-X,” “SP-X,” “HD-X Analyzer,” “HD-1 Analyzer” and our logo are our trademarks. All other service marks, 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442,672</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181,584</w:t>
            </w:r>
          </w:p>
        </w:tc>
      </w:tr>
      <w:tr>
        <w:trPr>
          <w:trHeight w:val="193"/>
        </w:trPr>
        <w:tc>
          <w:tcPr>
            <w:tcW w:w="6120" w:type="dxa"/>
            <w:vAlign w:val="bottom"/>
          </w:tcPr>
          <w:p>
            <w:pPr>
              <w:ind w:left="100"/>
              <w:spacing w:after="0"/>
              <w:rPr>
                <w:sz w:val="20"/>
                <w:szCs w:val="20"/>
                <w:color w:val="auto"/>
              </w:rPr>
            </w:pPr>
            <w:r>
              <w:rPr>
                <w:rFonts w:ascii="Arial" w:cs="Arial" w:eastAsia="Arial" w:hAnsi="Arial"/>
                <w:sz w:val="16"/>
                <w:szCs w:val="16"/>
                <w:color w:val="auto"/>
              </w:rPr>
              <w:t>Accounts receivable (less allowance for credit losses of $342 and $370 as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6120" w:type="dxa"/>
            <w:vAlign w:val="bottom"/>
          </w:tcPr>
          <w:p>
            <w:pPr>
              <w:ind w:left="100"/>
              <w:spacing w:after="0"/>
              <w:rPr>
                <w:sz w:val="20"/>
                <w:szCs w:val="20"/>
                <w:color w:val="auto"/>
              </w:rPr>
            </w:pPr>
            <w:r>
              <w:rPr>
                <w:rFonts w:ascii="Arial" w:cs="Arial" w:eastAsia="Arial" w:hAnsi="Arial"/>
                <w:sz w:val="16"/>
                <w:szCs w:val="16"/>
                <w:color w:val="auto"/>
                <w:w w:val="95"/>
              </w:rPr>
              <w:t>March 31, 2021 and December 31, 2020, respectively; including $137 and $172 due from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120" w:type="dxa"/>
            <w:vAlign w:val="bottom"/>
          </w:tcPr>
          <w:p>
            <w:pPr>
              <w:ind w:left="100"/>
              <w:spacing w:after="0"/>
              <w:rPr>
                <w:sz w:val="20"/>
                <w:szCs w:val="20"/>
                <w:color w:val="auto"/>
              </w:rPr>
            </w:pPr>
            <w:r>
              <w:rPr>
                <w:rFonts w:ascii="Arial" w:cs="Arial" w:eastAsia="Arial" w:hAnsi="Arial"/>
                <w:sz w:val="16"/>
                <w:szCs w:val="16"/>
                <w:color w:val="auto"/>
              </w:rPr>
              <w:t>related parties as of March 31, 2021 and December 31, 2020, respectively)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14,936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17,184</w:t>
            </w:r>
          </w:p>
        </w:tc>
      </w:tr>
      <w:tr>
        <w:trPr>
          <w:trHeight w:val="205"/>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14,856</w:t>
            </w:r>
          </w:p>
        </w:tc>
      </w:tr>
      <w:tr>
        <w:trPr>
          <w:trHeight w:val="203"/>
        </w:trPr>
        <w:tc>
          <w:tcPr>
            <w:tcW w:w="61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5,981</w:t>
            </w:r>
          </w:p>
        </w:tc>
      </w:tr>
      <w:tr>
        <w:trPr>
          <w:trHeight w:val="196"/>
        </w:trPr>
        <w:tc>
          <w:tcPr>
            <w:tcW w:w="61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219,605</w:t>
            </w: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13,912</w:t>
            </w: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12,464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13,716</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10,460</w:t>
            </w: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Right-of-use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11,870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11,995</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36"/>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532,666</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r>
      <w:tr>
        <w:trPr>
          <w:trHeight w:val="183"/>
        </w:trPr>
        <w:tc>
          <w:tcPr>
            <w:tcW w:w="612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 (including $6 and $14 to related parties as of March 31, 2021 and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December 31, 2020, respectively)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6,503</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r>
      <w:tr>
        <w:trPr>
          <w:trHeight w:val="203"/>
        </w:trPr>
        <w:tc>
          <w:tcPr>
            <w:tcW w:w="6120" w:type="dxa"/>
            <w:vAlign w:val="bottom"/>
          </w:tcPr>
          <w:p>
            <w:pPr>
              <w:ind w:left="10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10,777</w:t>
            </w:r>
          </w:p>
        </w:tc>
      </w:tr>
      <w:tr>
        <w:trPr>
          <w:trHeight w:val="193"/>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Other accrued expenses (including $4 and $1,377 to related parties as of March 31, 2021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December 31, 2020, respectively)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w:t>
            </w:r>
          </w:p>
        </w:tc>
      </w:tr>
      <w:tr>
        <w:trPr>
          <w:trHeight w:val="193"/>
        </w:trPr>
        <w:tc>
          <w:tcPr>
            <w:tcW w:w="6120" w:type="dxa"/>
            <w:vAlign w:val="bottom"/>
          </w:tcPr>
          <w:p>
            <w:pPr>
              <w:ind w:left="100"/>
              <w:spacing w:after="0"/>
              <w:rPr>
                <w:sz w:val="20"/>
                <w:szCs w:val="20"/>
                <w:color w:val="auto"/>
              </w:rPr>
            </w:pPr>
            <w:r>
              <w:rPr>
                <w:rFonts w:ascii="Arial" w:cs="Arial" w:eastAsia="Arial" w:hAnsi="Arial"/>
                <w:sz w:val="16"/>
                <w:szCs w:val="16"/>
                <w:color w:val="auto"/>
                <w:w w:val="97"/>
              </w:rPr>
              <w:t>Deferred revenue (including $76 and $90 with related parties as of March 31, 2021 and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9"/>
        </w:trPr>
        <w:tc>
          <w:tcPr>
            <w:tcW w:w="6120" w:type="dxa"/>
            <w:vAlign w:val="bottom"/>
          </w:tcPr>
          <w:p>
            <w:pPr>
              <w:ind w:left="100"/>
              <w:spacing w:after="0"/>
              <w:rPr>
                <w:sz w:val="20"/>
                <w:szCs w:val="20"/>
                <w:color w:val="auto"/>
              </w:rPr>
            </w:pPr>
            <w:r>
              <w:rPr>
                <w:rFonts w:ascii="Arial" w:cs="Arial" w:eastAsia="Arial" w:hAnsi="Arial"/>
                <w:sz w:val="16"/>
                <w:szCs w:val="16"/>
                <w:color w:val="auto"/>
              </w:rPr>
              <w:t>December 31, 2020, respectively)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5,421</w:t>
            </w:r>
          </w:p>
        </w:tc>
      </w:tr>
      <w:tr>
        <w:trPr>
          <w:trHeight w:val="205"/>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long term debt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7,673</w:t>
            </w:r>
          </w:p>
        </w:tc>
      </w:tr>
      <w:tr>
        <w:trPr>
          <w:trHeight w:val="203"/>
        </w:trPr>
        <w:tc>
          <w:tcPr>
            <w:tcW w:w="6120" w:type="dxa"/>
            <w:vAlign w:val="bottom"/>
          </w:tcPr>
          <w:p>
            <w:pPr>
              <w:ind w:left="100"/>
              <w:spacing w:after="0"/>
              <w:rPr>
                <w:sz w:val="20"/>
                <w:szCs w:val="20"/>
                <w:color w:val="auto"/>
              </w:rPr>
            </w:pPr>
            <w:r>
              <w:rPr>
                <w:rFonts w:ascii="Arial" w:cs="Arial" w:eastAsia="Arial" w:hAnsi="Arial"/>
                <w:sz w:val="16"/>
                <w:szCs w:val="16"/>
                <w:color w:val="auto"/>
              </w:rPr>
              <w:t>Short term lease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1,271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1,234</w:t>
            </w:r>
          </w:p>
        </w:tc>
      </w:tr>
      <w:tr>
        <w:trPr>
          <w:trHeight w:val="203"/>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r>
      <w:tr>
        <w:trPr>
          <w:trHeight w:val="196"/>
        </w:trPr>
        <w:tc>
          <w:tcPr>
            <w:tcW w:w="6120" w:type="dxa"/>
            <w:vAlign w:val="bottom"/>
          </w:tcPr>
          <w:p>
            <w:pPr>
              <w:ind w:left="4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36,491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39,803</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net of current portion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3"/>
        </w:trPr>
        <w:tc>
          <w:tcPr>
            <w:tcW w:w="6120" w:type="dxa"/>
            <w:vAlign w:val="bottom"/>
          </w:tcPr>
          <w:p>
            <w:pPr>
              <w:spacing w:after="0"/>
              <w:rPr>
                <w:sz w:val="20"/>
                <w:szCs w:val="20"/>
                <w:color w:val="auto"/>
              </w:rPr>
            </w:pPr>
            <w:r>
              <w:rPr>
                <w:rFonts w:ascii="Arial" w:cs="Arial" w:eastAsia="Arial" w:hAnsi="Arial"/>
                <w:sz w:val="16"/>
                <w:szCs w:val="16"/>
                <w:color w:val="auto"/>
              </w:rPr>
              <w:t>Long term lease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21,552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21,891</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w:t>
            </w:r>
          </w:p>
        </w:tc>
      </w:tr>
      <w:tr>
        <w:trPr>
          <w:trHeight w:val="196"/>
        </w:trPr>
        <w:tc>
          <w:tcPr>
            <w:tcW w:w="612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61,197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64,920</w:t>
            </w:r>
          </w:p>
        </w:tc>
      </w:tr>
      <w:tr>
        <w:trPr>
          <w:trHeight w:val="203"/>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120" w:type="dxa"/>
            <w:vAlign w:val="bottom"/>
          </w:tcPr>
          <w:p>
            <w:pPr>
              <w:ind w:left="100"/>
              <w:spacing w:after="0"/>
              <w:rPr>
                <w:sz w:val="20"/>
                <w:szCs w:val="20"/>
                <w:color w:val="auto"/>
              </w:rPr>
            </w:pPr>
            <w:r>
              <w:rPr>
                <w:rFonts w:ascii="Arial" w:cs="Arial" w:eastAsia="Arial" w:hAnsi="Arial"/>
                <w:sz w:val="16"/>
                <w:szCs w:val="16"/>
                <w:color w:val="auto"/>
              </w:rPr>
              <w:t>Common stock, $0.001 par value: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3"/>
        </w:trPr>
        <w:tc>
          <w:tcPr>
            <w:tcW w:w="61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3"/>
              </w:rPr>
              <w:t>Authorized—120,000,000 shares as of March 31, 2021 and December 31, 2020; issued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and outstanding — 36,294,928 and 31,796,544 shares as of March 31, 2021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2"/>
        </w:trPr>
        <w:tc>
          <w:tcPr>
            <w:tcW w:w="61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December 31, 2020, respectively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3"/>
        </w:trPr>
        <w:tc>
          <w:tcPr>
            <w:tcW w:w="612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728,128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451,433</w:t>
            </w:r>
          </w:p>
        </w:tc>
      </w:tr>
      <w:tr>
        <w:trPr>
          <w:trHeight w:val="203"/>
        </w:trPr>
        <w:tc>
          <w:tcPr>
            <w:tcW w:w="61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02"/>
        </w:trPr>
        <w:tc>
          <w:tcPr>
            <w:tcW w:w="61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(257,878)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(247,774)</w:t>
            </w:r>
          </w:p>
        </w:tc>
      </w:tr>
      <w:tr>
        <w:trPr>
          <w:trHeight w:val="196"/>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471,469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206,125</w:t>
            </w:r>
          </w:p>
        </w:tc>
      </w:tr>
      <w:tr>
        <w:trPr>
          <w:trHeight w:val="196"/>
        </w:trPr>
        <w:tc>
          <w:tcPr>
            <w:tcW w:w="612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532,666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271,045</w:t>
            </w: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Product revenue (including related party activity of $92 and $120 for the three months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ended March 31, 2021 and 2020,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line="201" w:lineRule="exact"/>
              <w:rPr>
                <w:sz w:val="20"/>
                <w:szCs w:val="20"/>
                <w:color w:val="auto"/>
              </w:rPr>
            </w:pPr>
            <w:r>
              <w:rPr>
                <w:rFonts w:ascii="Arial" w:cs="Arial" w:eastAsia="Arial" w:hAnsi="Arial"/>
                <w:sz w:val="18"/>
                <w:szCs w:val="18"/>
                <w:color w:val="auto"/>
                <w:w w:val="97"/>
              </w:rPr>
              <w:t>Service and other revenue (including related party activity of $24 for each of the three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months ended March 31, 2021 and 2020)</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6,409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Grant revenue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Costs of goods sold: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Cost of product revenue (including related party activity of $570 and $63 for the three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months ended March 31, 2021 and 2020, respectively)</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line="201" w:lineRule="exact"/>
              <w:rPr>
                <w:sz w:val="20"/>
                <w:szCs w:val="20"/>
                <w:color w:val="auto"/>
              </w:rPr>
            </w:pPr>
            <w:r>
              <w:rPr>
                <w:rFonts w:ascii="Arial" w:cs="Arial" w:eastAsia="Arial" w:hAnsi="Arial"/>
                <w:sz w:val="18"/>
                <w:szCs w:val="18"/>
                <w:color w:val="auto"/>
                <w:w w:val="97"/>
              </w:rPr>
              <w:t>Cost of services and other revenue (including related party activity of $17 and $0 for</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 three months ended March 31, 2021 and 2020, respectively)</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costs of goods sold and services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line="201" w:lineRule="exact"/>
              <w:rPr>
                <w:sz w:val="20"/>
                <w:szCs w:val="20"/>
                <w:color w:val="auto"/>
              </w:rPr>
            </w:pPr>
            <w:r>
              <w:rPr>
                <w:rFonts w:ascii="Arial" w:cs="Arial" w:eastAsia="Arial" w:hAnsi="Arial"/>
                <w:sz w:val="18"/>
                <w:szCs w:val="18"/>
                <w:color w:val="auto"/>
                <w:w w:val="96"/>
              </w:rPr>
              <w:t>Research and development (including related party activity of $8 and $0 for the three</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20"/>
              <w:spacing w:after="0"/>
              <w:rPr>
                <w:sz w:val="20"/>
                <w:szCs w:val="20"/>
                <w:color w:val="auto"/>
              </w:rPr>
            </w:pPr>
            <w:r>
              <w:rPr>
                <w:rFonts w:ascii="Arial" w:cs="Arial" w:eastAsia="Arial" w:hAnsi="Arial"/>
                <w:sz w:val="18"/>
                <w:szCs w:val="18"/>
                <w:color w:val="auto"/>
              </w:rPr>
              <w:t>months ended March 31, 2021 and 2020, respectively)</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Selling, general, and administrative (including related party activity of $14 and $0 for</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three months ended March 31, 2021 and 2020, respectively)</w:t>
            </w: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(0.41)</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34,434,931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28,179,132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(Unaudited)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240" w:type="dxa"/>
            <w:vAlign w:val="bottom"/>
            <w:tcBorders>
              <w:bottom w:val="single" w:sz="8" w:color="auto"/>
            </w:tcBorders>
          </w:tcPr>
          <w:p>
            <w:pPr>
              <w:spacing w:after="0"/>
              <w:rPr>
                <w:sz w:val="14"/>
                <w:szCs w:val="14"/>
                <w:color w:val="auto"/>
              </w:rPr>
            </w:pPr>
          </w:p>
        </w:tc>
      </w:tr>
      <w:tr>
        <w:trPr>
          <w:trHeight w:val="196"/>
        </w:trPr>
        <w:tc>
          <w:tcPr>
            <w:tcW w:w="436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r>
      <w:tr>
        <w:trPr>
          <w:trHeight w:val="210"/>
        </w:trPr>
        <w:tc>
          <w:tcPr>
            <w:tcW w:w="4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40" w:type="dxa"/>
            <w:vAlign w:val="bottom"/>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r>
      <w:tr>
        <w:trPr>
          <w:trHeight w:val="206"/>
        </w:trPr>
        <w:tc>
          <w:tcPr>
            <w:tcW w:w="436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4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Cumulative translation adjustment</w:t>
            </w:r>
          </w:p>
        </w:tc>
        <w:tc>
          <w:tcPr>
            <w:tcW w:w="1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(1,251)</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09"/>
        </w:trPr>
        <w:tc>
          <w:tcPr>
            <w:tcW w:w="43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other comprehensive loss</w:t>
            </w:r>
          </w:p>
        </w:tc>
        <w:tc>
          <w:tcPr>
            <w:tcW w:w="1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r>
      <w:tr>
        <w:trPr>
          <w:trHeight w:val="21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240" w:type="dxa"/>
            <w:vAlign w:val="bottom"/>
            <w:tcBorders>
              <w:bottom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(12,657)</w:t>
            </w:r>
          </w:p>
        </w:tc>
      </w:tr>
      <w:tr>
        <w:trPr>
          <w:trHeight w:val="20"/>
        </w:trPr>
        <w:tc>
          <w:tcPr>
            <w:tcW w:w="4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2020</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Operating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(10,104)</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(11,610)</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1,046</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Inventory step-up amortization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Credit loss expense on accounts receivable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Reduction in the carrying amounts of right-of-use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Stock-based compensation expense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3,386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2,109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interest expense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Loss on disposal of fixed assets</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2,227</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(1,174)</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Prepaid expenses and other assets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(1,744)</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Inventory</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(2,327)</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(1,398)</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(1,145)</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compensation and benefits, other accrued expenses and other current liabilities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(5,598)</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w:t>
            </w: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Contract acquisition costs</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(14,089)</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(13,179)</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Investing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RADx grant on assets purchased</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2,435</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(426)</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Financing activities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stock options exercised</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3,076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Sale of common stock in underwritten public offering, net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269,718</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Proceeds from ESPP purchase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440</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Payments on notes payable</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273,313</w:t>
            </w:r>
          </w:p>
        </w:tc>
        <w:tc>
          <w:tcPr>
            <w:tcW w:w="1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861</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261,659</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(12,744)</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Effect of foreign currency exchange rate on cash</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3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restricted cash, and cash equivalents at beginning of period</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182,584</w:t>
            </w:r>
          </w:p>
        </w:tc>
        <w:tc>
          <w:tcPr>
            <w:tcW w:w="1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110,181</w:t>
            </w:r>
          </w:p>
        </w:tc>
      </w:tr>
      <w:tr>
        <w:trPr>
          <w:trHeight w:val="142"/>
        </w:trPr>
        <w:tc>
          <w:tcPr>
            <w:tcW w:w="62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restricted cash, and cash equivalents at end of period</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444,072</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97,359</w:t>
            </w:r>
          </w:p>
        </w:tc>
      </w:tr>
      <w:tr>
        <w:trPr>
          <w:trHeight w:val="142"/>
        </w:trPr>
        <w:tc>
          <w:tcPr>
            <w:tcW w:w="62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cash flow information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60" w:type="dxa"/>
            <w:vAlign w:val="bottom"/>
          </w:tcPr>
          <w:p>
            <w:pPr>
              <w:spacing w:after="0"/>
              <w:rPr>
                <w:sz w:val="12"/>
                <w:szCs w:val="12"/>
                <w:color w:val="auto"/>
              </w:rPr>
            </w:pP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3,341</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Reconciliation of cash, cash equivalents, and restricted cash:</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442,672</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96,359</w:t>
            </w:r>
          </w:p>
        </w:tc>
      </w:tr>
      <w:tr>
        <w:trPr>
          <w:trHeight w:val="148"/>
        </w:trPr>
        <w:tc>
          <w:tcPr>
            <w:tcW w:w="624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1,400</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2"/>
        </w:trPr>
        <w:tc>
          <w:tcPr>
            <w:tcW w:w="62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444,072</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97,359</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Quanterix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data)</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8"/>
        </w:trPr>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9"/>
        </w:trPr>
        <w:tc>
          <w:tcPr>
            <w:tcW w:w="38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31,796,544</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7"/>
              </w:rPr>
              <w:t>451,433</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2,434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(247,774)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206,125</w:t>
            </w:r>
          </w:p>
        </w:tc>
      </w:tr>
      <w:tr>
        <w:trPr>
          <w:trHeight w:val="138"/>
        </w:trPr>
        <w:tc>
          <w:tcPr>
            <w:tcW w:w="3860" w:type="dxa"/>
            <w:vAlign w:val="bottom"/>
          </w:tcPr>
          <w:p>
            <w:pPr>
              <w:ind w:left="20"/>
              <w:spacing w:after="0" w:line="138" w:lineRule="exact"/>
              <w:rPr>
                <w:sz w:val="20"/>
                <w:szCs w:val="20"/>
                <w:color w:val="auto"/>
              </w:rPr>
            </w:pPr>
            <w:r>
              <w:rPr>
                <w:rFonts w:ascii="Arial" w:cs="Arial" w:eastAsia="Arial" w:hAnsi="Arial"/>
                <w:sz w:val="13"/>
                <w:szCs w:val="13"/>
                <w:color w:val="auto"/>
              </w:rPr>
              <w:t>Exercise of common stock option and warrants and vesting of</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9"/>
        </w:trPr>
        <w:tc>
          <w:tcPr>
            <w:tcW w:w="3860" w:type="dxa"/>
            <w:vAlign w:val="bottom"/>
          </w:tcPr>
          <w:p>
            <w:pPr>
              <w:ind w:left="20"/>
              <w:spacing w:after="0"/>
              <w:rPr>
                <w:sz w:val="20"/>
                <w:szCs w:val="20"/>
                <w:color w:val="auto"/>
              </w:rPr>
            </w:pPr>
            <w:r>
              <w:rPr>
                <w:rFonts w:ascii="Arial" w:cs="Arial" w:eastAsia="Arial" w:hAnsi="Arial"/>
                <w:sz w:val="13"/>
                <w:szCs w:val="13"/>
                <w:color w:val="auto"/>
              </w:rPr>
              <w:t>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374,017</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3,076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3,076</w:t>
            </w:r>
          </w:p>
        </w:tc>
      </w:tr>
      <w:tr>
        <w:trPr>
          <w:trHeight w:val="148"/>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 of common stock in underwritten public offering, net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4,107,142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269,714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269,718</w:t>
            </w:r>
          </w:p>
        </w:tc>
      </w:tr>
      <w:tr>
        <w:trPr>
          <w:trHeight w:val="149"/>
        </w:trPr>
        <w:tc>
          <w:tcPr>
            <w:tcW w:w="3860" w:type="dxa"/>
            <w:vAlign w:val="bottom"/>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tcPr>
          <w:p>
            <w:pPr>
              <w:jc w:val="right"/>
              <w:spacing w:after="0"/>
              <w:rPr>
                <w:sz w:val="20"/>
                <w:szCs w:val="20"/>
                <w:color w:val="auto"/>
              </w:rPr>
            </w:pPr>
            <w:r>
              <w:rPr>
                <w:rFonts w:ascii="Arial" w:cs="Arial" w:eastAsia="Arial" w:hAnsi="Arial"/>
                <w:sz w:val="13"/>
                <w:szCs w:val="13"/>
                <w:color w:val="auto"/>
              </w:rPr>
              <w:t>17,225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519</w:t>
            </w:r>
          </w:p>
        </w:tc>
      </w:tr>
      <w:tr>
        <w:trPr>
          <w:trHeight w:val="148"/>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3,386</w:t>
            </w:r>
          </w:p>
        </w:tc>
      </w:tr>
      <w:tr>
        <w:trPr>
          <w:trHeight w:val="148"/>
        </w:trPr>
        <w:tc>
          <w:tcPr>
            <w:tcW w:w="3860" w:type="dxa"/>
            <w:vAlign w:val="bottom"/>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(1,251)</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(1,251)</w:t>
            </w:r>
          </w:p>
        </w:tc>
      </w:tr>
      <w:tr>
        <w:trPr>
          <w:trHeight w:val="148"/>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(10,104)</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(10,104)</w:t>
            </w:r>
          </w:p>
        </w:tc>
      </w:tr>
      <w:tr>
        <w:trPr>
          <w:trHeight w:val="142"/>
        </w:trPr>
        <w:tc>
          <w:tcPr>
            <w:tcW w:w="386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8"/>
              </w:rPr>
              <w:t>36,294,928</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36</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7"/>
              </w:rPr>
              <w:t>728,128</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1,183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(257,878)</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471,469</w:t>
            </w: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5"/>
        </w:trPr>
        <w:tc>
          <w:tcPr>
            <w:tcW w:w="3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48"/>
        </w:trPr>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86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comprehensive</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w w:val="89"/>
              </w:rPr>
              <w:t>stockholders’</w:t>
            </w:r>
          </w:p>
        </w:tc>
      </w:tr>
      <w:tr>
        <w:trPr>
          <w:trHeight w:val="161"/>
        </w:trPr>
        <w:tc>
          <w:tcPr>
            <w:tcW w:w="386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stock shares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stock value</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equity</w:t>
            </w:r>
          </w:p>
        </w:tc>
      </w:tr>
      <w:tr>
        <w:trPr>
          <w:trHeight w:val="142"/>
        </w:trPr>
        <w:tc>
          <w:tcPr>
            <w:tcW w:w="38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28,112,201</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7"/>
              </w:rPr>
              <w:t>345,027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(216,244)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128,658</w:t>
            </w:r>
          </w:p>
        </w:tc>
      </w:tr>
      <w:tr>
        <w:trPr>
          <w:trHeight w:val="149"/>
        </w:trPr>
        <w:tc>
          <w:tcPr>
            <w:tcW w:w="3860" w:type="dxa"/>
            <w:vAlign w:val="bottom"/>
          </w:tcPr>
          <w:p>
            <w:pPr>
              <w:ind w:left="20"/>
              <w:spacing w:after="0"/>
              <w:rPr>
                <w:sz w:val="20"/>
                <w:szCs w:val="20"/>
                <w:color w:val="auto"/>
              </w:rPr>
            </w:pPr>
            <w:r>
              <w:rPr>
                <w:rFonts w:ascii="Arial" w:cs="Arial" w:eastAsia="Arial" w:hAnsi="Arial"/>
                <w:sz w:val="13"/>
                <w:szCs w:val="13"/>
                <w:color w:val="auto"/>
              </w:rPr>
              <w:t>Exercise of common stock options and vesting of restricted stock</w:t>
            </w:r>
          </w:p>
        </w:tc>
        <w:tc>
          <w:tcPr>
            <w:tcW w:w="700" w:type="dxa"/>
            <w:vAlign w:val="bottom"/>
          </w:tcPr>
          <w:p>
            <w:pPr>
              <w:jc w:val="right"/>
              <w:spacing w:after="0"/>
              <w:rPr>
                <w:sz w:val="20"/>
                <w:szCs w:val="20"/>
                <w:color w:val="auto"/>
              </w:rPr>
            </w:pPr>
            <w:r>
              <w:rPr>
                <w:rFonts w:ascii="Arial" w:cs="Arial" w:eastAsia="Arial" w:hAnsi="Arial"/>
                <w:sz w:val="13"/>
                <w:szCs w:val="13"/>
                <w:color w:val="auto"/>
              </w:rPr>
              <w:t>108,548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496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496</w:t>
            </w:r>
          </w:p>
        </w:tc>
      </w:tr>
      <w:tr>
        <w:trPr>
          <w:trHeight w:val="148"/>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ESPP stock purchase</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22,693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r>
      <w:tr>
        <w:trPr>
          <w:trHeight w:val="148"/>
        </w:trPr>
        <w:tc>
          <w:tcPr>
            <w:tcW w:w="38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2,109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2,109</w:t>
            </w:r>
          </w:p>
        </w:tc>
      </w:tr>
      <w:tr>
        <w:trPr>
          <w:trHeight w:val="148"/>
        </w:trPr>
        <w:tc>
          <w:tcPr>
            <w:tcW w:w="3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translation adjustment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w:t>
            </w:r>
          </w:p>
        </w:tc>
      </w:tr>
      <w:tr>
        <w:trPr>
          <w:trHeight w:val="149"/>
        </w:trPr>
        <w:tc>
          <w:tcPr>
            <w:tcW w:w="3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(11,610)</w:t>
            </w: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(11,610)</w:t>
            </w:r>
          </w:p>
        </w:tc>
      </w:tr>
      <w:tr>
        <w:trPr>
          <w:trHeight w:val="142"/>
        </w:trPr>
        <w:tc>
          <w:tcPr>
            <w:tcW w:w="38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Balance at March 31, 2020</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28,243,442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7"/>
              </w:rPr>
              <w:t>348,072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(227,854)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119,046</w:t>
            </w:r>
          </w:p>
        </w:tc>
      </w:tr>
      <w:tr>
        <w:trPr>
          <w:trHeight w:val="20"/>
        </w:trPr>
        <w:tc>
          <w:tcPr>
            <w:tcW w:w="3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See accompanying notes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Quanterix Corporation (Nasdaq: QTRX) (the Company) is a life sciences company that has developed next generation, ultra-sensitive digital immunoassay platforms that advance precision health for life sciences research and diagnostics. The Company's platforms are based on its proprietary digital "Simoa" detection technology. The Company's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on protein detection, which it believes is an area of significant unmet need and where it has significant competitive advantages. However, in addition to enabling new applications and insights in protein analysis, the Company’s Simoa platforms have also demonstrated applicability across other testing applications, including detection of nucleic acids and small molecules.</w:t>
      </w:r>
    </w:p>
    <w:p>
      <w:pPr>
        <w:spacing w:after="0" w:line="174"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The Company launched its first immunoassay platform, the Simoa HD-1, in 2014. The HD-1 is a fully automated immunoassay bead-based platform with multiplexing and custom assay capability, and related assay test kits and consumable materials. The Company launched a second bead-based immunoassay platform (SR-X) in the fourth quarter of 2017 with a more compact footprint than the Simoa HD-1 and less automation designed for lower volume requirements while still allowing multiplexing and custom assay capability. The Company initiated an early-access program for its third instrument (SP-X) on the new Simoa planar array platform in January 2019, with the full commercial launch commencing in April 2019. In July 2019, the Company launched the Simoa HD-X, an upgraded version of the Simoa HD-1 which replaces the HD-1. The HD-X has been designed to deliver significant productivity and operational efficiency improvements, as well as greater user flexibility. The Company began shipping and installing HD-X instruments at customer locations in the third quarter of 2019. The Company also performs research services on behalf of customers to apply the Simoa technology to specific customer needs. The Company's customers are primarily in the research use only market, which includes academic and governmental research institutions, the research and development laboratories of pharmaceutical manufacturers, contract research organizations, and specialty research laboratories.</w:t>
      </w:r>
    </w:p>
    <w:p>
      <w:pPr>
        <w:spacing w:after="0" w:line="17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Company acquired Aushon Biosystems, Inc. (Aushon) in January 2018. With the acquisition of Aushon, the Company acquired a CLIA certified laboratory, as well as Aushon's proprietary sensitive planar array detection technology. Leveraging its proprietary sophisticated Simoa image analysis and data analysis algorithms, the Company further refined this planar array technology to develop the SP-X instrument to provide the same Simoa sensitivity found in its bead-based platform.</w:t>
      </w:r>
    </w:p>
    <w:p>
      <w:pPr>
        <w:spacing w:after="0" w:line="188"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The Company completed the acquisition of UmanDiagnostics AB (Uman), a Swedish company located in Umea, Sweden, in August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 With the acquisition of Uman, the Company has secured a long-term source of supply for a critical technology.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Underwritten public offerings</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On August 6, 2020, the Company entered into an underwriting agreement with Leerink and Cowen, as representatives of the several underwriters, relating to an underwritten public offering of approximately 3.0 million shares of the Company’s common stock, par value $0.001 per share. The underwritten public offering resulted in gross proceeds of $97.6 million. The Company incurred $6.2 million in issuance costs associated with the underwritten public offering, resulting in net proceeds to the Company of $91.4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On February 3, 2021, the Company entered into an underwriting agreement with Goldman Sachs &amp; Co. LLC, SVB Leerink LLC, and Cowen, as representatives of the several underwriters, relating to an underwritten public offering of approximately 4.1 million shares of the Company’s common stock, par value $0.001 per share. The underwritten public offering resulted in gross proceeds of $287.5 million. The Company incurred $17.8 million in issuance costs associated with the underwritten public offering, resulting in net proceeds to the Company of $269.7 million.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the Company’s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(U.S. GAAP) for interim financial information and with the instructions to Form 10-Q and Article 10 of Regulation S-X. Accordingly, certain information and disclosures normally included in financial statements prepared in accordance with U.S. GAAP have been condensed or omitted. These interim condensed consolidated financial statements should be read in conjunction with the audited consolidated financial statements and related notes thereto included in the Company’s Annual Report on Form 10-K for the year ended December 31, 2020 filed with the Securities and Exchange Commission on March 5, 2021 (the 2020 Annual Report on Form 10-K). The consolidated financial information as of December 31, 2020 has been derived from the audited 2020 consolidated financial statements included in the 2020 Annual Report on Form 10-K.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condensed consolidated financial statements have been prepared in accordance with U.S. GAAP and include the accounts of Quanterix Corporation and its wholly-owned subsidiaries. All material intercompany transactions and balances have been eliminated in consolidation.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assets acquired and liabilities assumed in acquisitions, valuation allowances recorded against deferred tax assets, and valuation of inventory. Actual results could differ from those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The Company translates assets and liabilities of its foreign subsidiaries at rates in effect at the end of the reporting period. Revenues and expenses are translated at average rates in effect during the reporting period. Translation adjustments are included in accumulated other comprehensive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recognized in the Company's consolidated financial statements or tax returns. Under this method, deferred tax 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 xml:space="preserve">The Company accounts for uncertain tax positions in accordance with the provisions of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2021 the Company did not have any significant uncertain tax positions.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Under the acquisition method of accounting, the Company generally recognizes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value of tangible and intangible assets, net of liabilities assumed, is recorded as goodwill. These valuations require significant estimates and assumptions, especially with respect to intangible assets.</w:t>
      </w:r>
    </w:p>
    <w:p>
      <w:pPr>
        <w:spacing w:after="0" w:line="164"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60" w:right="479" w:firstLine="648"/>
        <w:spacing w:after="0" w:line="259" w:lineRule="auto"/>
        <w:rPr>
          <w:sz w:val="20"/>
          <w:szCs w:val="20"/>
          <w:color w:val="auto"/>
        </w:rPr>
      </w:pPr>
      <w:r>
        <w:rPr>
          <w:rFonts w:ascii="Arial" w:cs="Arial" w:eastAsia="Arial" w:hAnsi="Arial"/>
          <w:sz w:val="18"/>
          <w:szCs w:val="18"/>
          <w:color w:val="auto"/>
        </w:rPr>
        <w:t>Restricted cash primarily represents collateral for a letter of credit issued as security for the lease for the Company’s headquarters in Billerica, Massachusetts, and to secure the Company’s corporate credit card program. The restricted cash is long term in nature as the Company will not have access to the funds until more than one year from March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Company is considered to be an “emerging growth company” (EGC) as defined in the Jumpstart Our Business Startups Act of 2012, as amended (JOBS Act). The JOBS Act provides that an EGC can take advantage of an extended transition period for complying with new or revised accounting standards. Thus, an EGC can delay the adoption of certain accounting standards until those standards would otherwise apply to private companies. The Company may remain an EGC until the last day of the fiscal year in which the fifth anniversary of the closing of the initial public offering occurs, although if the market value the Company’s common stock that is held by non-affiliates exceeds $700 million as of any June 30 before that time or if the Company has annual gross revenues of $1.07 billion or more in any fiscal year, the Company would cease to be an EGC as of December 31 of the applicable year. The Company also would cease to be an EGC if it issues more than $1 billion of non-convertible debt over a three-year period.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EGC.</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In June 2016, the Financial Accounting Standards Board (FASB) established Topic 326</w:t>
      </w:r>
      <w:r>
        <w:rPr>
          <w:rFonts w:ascii="Arial" w:cs="Arial" w:eastAsia="Arial" w:hAnsi="Arial"/>
          <w:sz w:val="16"/>
          <w:szCs w:val="16"/>
          <w:i w:val="1"/>
          <w:iCs w:val="1"/>
          <w:color w:val="auto"/>
        </w:rPr>
        <w:t>, 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Measurement of Credit Losses on Financial Instruments </w:t>
      </w:r>
      <w:r>
        <w:rPr>
          <w:rFonts w:ascii="Arial" w:cs="Arial" w:eastAsia="Arial" w:hAnsi="Arial"/>
          <w:sz w:val="16"/>
          <w:szCs w:val="16"/>
          <w:color w:val="auto"/>
        </w:rPr>
        <w:t>(ASC 326) by issuing Accounting Standards</w:t>
      </w:r>
      <w:r>
        <w:rPr>
          <w:rFonts w:ascii="Arial" w:cs="Arial" w:eastAsia="Arial" w:hAnsi="Arial"/>
          <w:sz w:val="16"/>
          <w:szCs w:val="16"/>
          <w:i w:val="1"/>
          <w:iCs w:val="1"/>
          <w:color w:val="auto"/>
        </w:rPr>
        <w:t xml:space="preserve"> </w:t>
      </w:r>
      <w:r>
        <w:rPr>
          <w:rFonts w:ascii="Arial" w:cs="Arial" w:eastAsia="Arial" w:hAnsi="Arial"/>
          <w:sz w:val="16"/>
          <w:szCs w:val="16"/>
          <w:color w:val="auto"/>
        </w:rPr>
        <w:t>Update (ASU) No. 2016-13 (ASU 2016-13), which amends the impairment model by requiring entities to use a forward-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96" w:lineRule="auto"/>
        <w:rPr>
          <w:sz w:val="20"/>
          <w:szCs w:val="20"/>
          <w:color w:val="auto"/>
        </w:rPr>
      </w:pPr>
      <w:r>
        <w:rPr>
          <w:rFonts w:ascii="Arial" w:cs="Arial" w:eastAsia="Arial" w:hAnsi="Arial"/>
          <w:sz w:val="16"/>
          <w:szCs w:val="16"/>
          <w:color w:val="auto"/>
        </w:rPr>
        <w:t>looking approach based on expected losses to estimate credit losses on certain types of financial instruments, including trade receivables and available-for-sale debt securities. The Company early adopted ASU 2016-13 on January 1, 2021 using the modified retrospective approach. The Company’s consolidated financial statements for prior-year periods have not been revised and are reflective of the credit loss requirements which were in effect for that period. The adoption of ASU 2016-13 did not have a material impact on the Company’s consolidated financial statements.</w:t>
      </w:r>
    </w:p>
    <w:p>
      <w:pPr>
        <w:spacing w:after="0" w:line="161"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(Subtopic 350-40): Customer’s Accounting for Implementation Costs Incurred in a Cloud Computing Arrangement That Is a Service Contract </w:t>
      </w:r>
      <w:r>
        <w:rPr>
          <w:rFonts w:ascii="Arial" w:cs="Arial" w:eastAsia="Arial" w:hAnsi="Arial"/>
          <w:sz w:val="17"/>
          <w:szCs w:val="17"/>
          <w:color w:val="auto"/>
        </w:rPr>
        <w:t>(ASU 2018-15)</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addresses the accounting for implementation, setup and other upfront costs</w:t>
      </w:r>
      <w:r>
        <w:rPr>
          <w:rFonts w:ascii="Arial" w:cs="Arial" w:eastAsia="Arial" w:hAnsi="Arial"/>
          <w:sz w:val="17"/>
          <w:szCs w:val="17"/>
          <w:i w:val="1"/>
          <w:iCs w:val="1"/>
          <w:color w:val="auto"/>
        </w:rPr>
        <w:t xml:space="preserve"> </w:t>
      </w:r>
      <w:r>
        <w:rPr>
          <w:rFonts w:ascii="Arial" w:cs="Arial" w:eastAsia="Arial" w:hAnsi="Arial"/>
          <w:sz w:val="17"/>
          <w:szCs w:val="17"/>
          <w:color w:val="auto"/>
        </w:rPr>
        <w:t>paid by a customer in a cloud computing or hosting arrangement. The guidance aligns the accounting treatment of these costs incurred in a hosting arrangement treated as a service contract with the requirements for capitalization and amortization costs to develop or obtain internal-use software. The Company adopted ASU 2018-15 on January 1, 2021 using the prospective method. The Adoption of ASU 2018-15 did not have a material impact on the Company’s consolidated financial statements.</w:t>
      </w:r>
    </w:p>
    <w:p>
      <w:pPr>
        <w:spacing w:after="0" w:line="17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which is intended to simplify various areas related to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ASU 2019-12 removes certain exceptions for performing intra period tax allocations and calculating income taxes in interim periods. The guidance also simplifies the accounting for transactions that result in a step-up in the tax basis of goodwill and the effect of enacted changes in tax laws or rates in interim periods. The Company early adopted ASU 2019-12 on January 1, 2021. The adoption of ASU 2019-12 did not have a material impact on the Company’s consolidated financial statements.</w:t>
      </w:r>
    </w:p>
    <w:p>
      <w:pPr>
        <w:spacing w:after="0" w:line="164" w:lineRule="exact"/>
        <w:rPr>
          <w:sz w:val="20"/>
          <w:szCs w:val="20"/>
          <w:color w:val="auto"/>
        </w:rPr>
      </w:pPr>
    </w:p>
    <w:p>
      <w:pPr>
        <w:ind w:left="60" w:right="919"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2020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The Company recognizes revenue when a customer obtains control of a promised good or service. The amount of revenue recognized reflects consideration that the Company expects to be entitled to receive in exchange for these goods and services, incentives and taxes collected from customers, that are subsequently remitted to governmental authorities.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Company’s customers primarily consist of entities engaged in the life sciences research market that pursue the discovery and development of new drugs for a variety of neurologic, cardiovascular, oncologic and other protein biomarkers associated with diseases. The Company’s customer base includes several of the largest biopharmaceutical companies, academic research organizations and distributors who serve certain geographic markets.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Company’s products are composed of analyzer instruments, assay kits and other consumables such as reagents. Products are sold directly to biopharmaceutical and academic research organizations or are sold through distributors in EMEA and Asia Pacific regions. The sales of instruments are generally accompanied by an initial year of implied service-type warranties and may be bundled with assays and other consumables and may also include other items such as training and installation of the instrument and/or an extended service warranty. Revenues from the sale of products are recognized at a point in time when the Company transfers control of the product to the customer, which is upon installation for instruments sold to direct customers, and based upon shipping terms for assay kits and other consumables. Revenue for instruments sold to distributors is generally recognized based upon shipping terms (either upon shipment or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225"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Service revenues are composed of contract research services, initial implied one-year service-type warranties, extended services contracts and other services such as training. Contract research services are provided through the Company’s Accelerator Laboratory and generally consist of fixed fee contracts. Revenues from contract research services are recognized at a point in time when the Company completes and delivers its research report on each individually completed study, or over time if the contractual provisions allow for the collection of transaction consideration for costs incurred plus a reasonable margin through the period of performance of the services. Revenues from service-type warranties are recognized ratably over the contract service period. Revenues from other services are immaterial.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and license revenue</w:t>
      </w:r>
    </w:p>
    <w:p>
      <w:pPr>
        <w:spacing w:after="0" w:line="266"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The Company may enter into agreements to license the intellectual property and know-how associated with its instruments and certain antibodies in exchange for license fees and future royalties (as described below). The license agreements provide the licensee with a right to use the intellectual property with the license fee revenues recognized at a point in time as the underlying license is considered functional intellectual property.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Payment terms</w:t>
      </w:r>
    </w:p>
    <w:p>
      <w:pPr>
        <w:spacing w:after="0" w:line="225"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Company’s payment terms vary by the type and location of the customer and the products or services offered. Payment from customers is generally required in a term ranging from 30 to 45 days from date of shipment or satisfaction of the performance obligation. The Company does not provide financing arrangements to its customers.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When disaggregating revenue, the Company considered all of the economic factors that may affect its revenues.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tables disaggregate the Company's revenue from contracts with customers by revenue type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NA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EMEA</w:t>
            </w:r>
          </w:p>
        </w:tc>
        <w:tc>
          <w:tcPr>
            <w:tcW w:w="140" w:type="dxa"/>
            <w:vAlign w:val="bottom"/>
          </w:tcPr>
          <w:p>
            <w:pPr>
              <w:spacing w:after="0"/>
              <w:rPr>
                <w:sz w:val="12"/>
                <w:szCs w:val="12"/>
                <w:color w:val="auto"/>
              </w:rPr>
            </w:pPr>
          </w:p>
        </w:tc>
        <w:tc>
          <w:tcPr>
            <w:tcW w:w="96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Asia Pacific</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Instruments</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2,833</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Consumable and other products</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16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Service and other revenues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Service-type warranties</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Research services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services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49"/>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w:t>
            </w:r>
          </w:p>
        </w:tc>
        <w:tc>
          <w:tcPr>
            <w:tcW w:w="160" w:type="dxa"/>
            <w:vAlign w:val="bottom"/>
          </w:tcPr>
          <w:p>
            <w:pPr>
              <w:spacing w:after="0"/>
              <w:rPr>
                <w:sz w:val="21"/>
                <w:szCs w:val="2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Collaboration and license revenue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9"/>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Totals</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NA</w:t>
            </w:r>
          </w:p>
        </w:tc>
        <w:tc>
          <w:tcPr>
            <w:tcW w:w="140" w:type="dxa"/>
            <w:vAlign w:val="bottom"/>
          </w:tcPr>
          <w:p>
            <w:pPr>
              <w:spacing w:after="0"/>
              <w:rPr>
                <w:sz w:val="12"/>
                <w:szCs w:val="12"/>
                <w:color w:val="auto"/>
              </w:rPr>
            </w:pPr>
          </w:p>
        </w:tc>
        <w:tc>
          <w:tcPr>
            <w:tcW w:w="7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EMEA</w:t>
            </w:r>
          </w:p>
        </w:tc>
        <w:tc>
          <w:tcPr>
            <w:tcW w:w="9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2"/>
                <w:szCs w:val="12"/>
                <w:color w:val="auto"/>
              </w:rPr>
            </w:pPr>
          </w:p>
        </w:tc>
        <w:tc>
          <w:tcPr>
            <w:tcW w:w="6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revenues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Instruments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1,753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Consumable and other products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49"/>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 and other revenues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Service-type warranties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Research services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services</w:t>
            </w: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197"/>
        </w:trPr>
        <w:tc>
          <w:tcPr>
            <w:tcW w:w="5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Collaboration and license revenue</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and license revenue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9"/>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 Company’s contracts with customers may include promises to transfer multiple products and services to a customer. The Company combines any performance obligations that are immaterial with one or more other performance obligations that are material to the contract. For arrangements with multiple performance obligations, the Company allocates the contract transaction price, including discounts, to each performance obligation based on its relative standalone selling price. Judgment is required to determine the standalone selling price for each distinct performance obligation. The Company determines standalone selling prices based on prices charged to customers in observable transactions, and uses a range of amounts to estimate standalone selling prices for each performance obligation. The Company may have more than one range of standalone selling price for certain products and services based on the pricing for different customer classes.</w:t>
      </w:r>
    </w:p>
    <w:p>
      <w:pPr>
        <w:spacing w:after="0" w:line="16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Variable consideration in the Company’s contracts primarily relates to (i) sales- and usage-based royalties related to the license of intellectual property in collaboration and license contracts and (ii) certain non-fixed fee research services contracts. ASC 606 provides for an exception to estimating the variable consideration for sales- and usage-based royalties related to the license of intellectual property, such that the sales- and usage-based royalty will be recognized in the period the underlying transaction occurs. The Company recognizes revenue from sales- and usage-based royalty revenue at the later of when the sale or usage occurs and the satisfaction or partial satisfaction of the performance obligation to which the royalty has been allocated.</w:t>
      </w:r>
    </w:p>
    <w:p>
      <w:pPr>
        <w:spacing w:after="0" w:line="177" w:lineRule="exact"/>
        <w:rPr>
          <w:sz w:val="20"/>
          <w:szCs w:val="20"/>
          <w:color w:val="auto"/>
        </w:rPr>
      </w:pPr>
    </w:p>
    <w:p>
      <w:pPr>
        <w:ind w:left="60" w:right="419" w:firstLine="648"/>
        <w:spacing w:after="0" w:line="272" w:lineRule="auto"/>
        <w:rPr>
          <w:sz w:val="20"/>
          <w:szCs w:val="20"/>
          <w:color w:val="auto"/>
        </w:rPr>
      </w:pPr>
      <w:r>
        <w:rPr>
          <w:rFonts w:ascii="Arial" w:cs="Arial" w:eastAsia="Arial" w:hAnsi="Arial"/>
          <w:sz w:val="17"/>
          <w:szCs w:val="17"/>
          <w:color w:val="auto"/>
        </w:rPr>
        <w:t>The aggregate amount of transaction price that is allocated to performance obligations that have not yet been satisfied or are partially satisfied as of March 31, 2021 and 2020 is $7.2 million and $5.8 million, respectively. As of March 31, 2021, of the performance obligations not yet satisfied or partially satisfied, $6.4 million is expected to be recognized as revenue in the next 12 months, with the remainder to be recognized within the 24 months thereafter. The $6.4 million at March 31, 2021 principally consists of amounts billed for undelivered services related to initial and extended service-type warranties and research services, as well as $0.5 million related to undelivered licenses of intellectual property for a diagnostics company (see Note 13).</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Changes in deferred revenue from contracts with customers were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-115570</wp:posOffset>
            </wp:positionV>
            <wp:extent cx="39344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34460" cy="146050"/>
                    </a:xfrm>
                    <a:prstGeom prst="rect">
                      <a:avLst/>
                    </a:prstGeom>
                    <a:noFill/>
                  </pic:spPr>
                </pic:pic>
              </a:graphicData>
            </a:graphic>
          </wp:anchor>
        </w:drawing>
      </w:r>
    </w:p>
    <w:p>
      <w:pPr>
        <w:spacing w:after="0" w:line="2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Deferral of revenue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Recognition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-116205</wp:posOffset>
            </wp:positionV>
            <wp:extent cx="39344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34460" cy="137160"/>
                    </a:xfrm>
                    <a:prstGeom prst="rect">
                      <a:avLst/>
                    </a:prstGeom>
                    <a:noFill/>
                  </pic:spPr>
                </pic:pic>
              </a:graphicData>
            </a:graphic>
          </wp:anchor>
        </w:drawing>
      </w:r>
    </w:p>
    <w:p>
      <w:pPr>
        <w:spacing w:after="0" w:line="2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16"/>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March 31, 2021</w:t>
            </w:r>
          </w:p>
        </w:tc>
      </w:tr>
      <w:tr>
        <w:trPr>
          <w:trHeight w:val="195"/>
        </w:trPr>
        <w:tc>
          <w:tcPr>
            <w:tcW w:w="2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tcPr>
          <w:p>
            <w:pPr>
              <w:jc w:val="right"/>
              <w:spacing w:after="0" w:line="195" w:lineRule="exact"/>
              <w:rPr>
                <w:sz w:val="20"/>
                <w:szCs w:val="20"/>
                <w:color w:val="auto"/>
              </w:rPr>
            </w:pPr>
            <w:r>
              <w:rPr>
                <w:rFonts w:ascii="Arial" w:cs="Arial" w:eastAsia="Arial" w:hAnsi="Arial"/>
                <w:sz w:val="18"/>
                <w:szCs w:val="18"/>
                <w:color w:val="auto"/>
              </w:rPr>
              <w:t>5,998</w:t>
            </w: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2,669</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w:t>
            </w:r>
          </w:p>
        </w:tc>
      </w:tr>
      <w:tr>
        <w:trPr>
          <w:trHeight w:val="210"/>
        </w:trPr>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7,196</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80" w:space="720"/>
            <w:col w:w="3319"/>
          </w:cols>
          <w:pgMar w:left="1440" w:top="517" w:right="1440"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Company’s sales commissions are generally based on revenues of the Company. The Company has determined that certain commissions paid under its sales incentive programs meet the requirements to be capitalized as they are incremental and would not have occurred absent a customer contract. The change in the balance of costs to obtain a contract are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1400" w:right="760"/>
        <w:spacing w:after="0" w:line="293" w:lineRule="auto"/>
        <w:rPr>
          <w:sz w:val="20"/>
          <w:szCs w:val="20"/>
          <w:color w:val="auto"/>
        </w:rPr>
      </w:pPr>
      <w:r>
        <w:rPr>
          <w:rFonts w:ascii="Arial" w:cs="Arial" w:eastAsia="Arial" w:hAnsi="Arial"/>
          <w:sz w:val="16"/>
          <w:szCs w:val="16"/>
          <w:color w:val="auto"/>
        </w:rPr>
        <w:t>Balance at December 31, 2020 Deferral of costs to obtain a contract Recognition of costs to obtain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-426720</wp:posOffset>
            </wp:positionV>
            <wp:extent cx="393446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34460" cy="14541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-144145</wp:posOffset>
            </wp:positionV>
            <wp:extent cx="39344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34460" cy="1371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March 31, 2021</w:t>
            </w:r>
          </w:p>
        </w:tc>
      </w:tr>
      <w:tr>
        <w:trPr>
          <w:trHeight w:val="195"/>
        </w:trPr>
        <w:tc>
          <w:tcPr>
            <w:tcW w:w="20" w:type="dxa"/>
            <w:vAlign w:val="bottom"/>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40" w:type="dxa"/>
            <w:vAlign w:val="bottom"/>
          </w:tcPr>
          <w:p>
            <w:pPr>
              <w:jc w:val="right"/>
              <w:spacing w:after="0" w:line="195" w:lineRule="exact"/>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080" w:space="720"/>
            <w:col w:w="3219"/>
          </w:cols>
          <w:pgMar w:left="1440" w:top="517" w:right="1440" w:bottom="1440" w:gutter="0" w:footer="0" w:header="0"/>
          <w:type w:val="continuous"/>
        </w:sectPr>
      </w:pPr>
    </w:p>
    <w:p>
      <w:pPr>
        <w:spacing w:after="0" w:line="2"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has classified the balance of capitalized costs to obtain a contract as a component of prepaid expenses and other current assets and classifies the expense as a component of cost of goods sold and selling, general, and administrative expense over the estimated life of the contract. The Company considers potential impairment in these amounts each period.</w:t>
      </w:r>
    </w:p>
    <w:p>
      <w:pPr>
        <w:spacing w:after="0" w:line="187"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ASC 606 provides entities with certain practical expedients and accounting policy elections to minimize the cost and burden of adoption.</w:t>
      </w:r>
    </w:p>
    <w:p>
      <w:pPr>
        <w:spacing w:after="0" w:line="170"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 does not disclose the value of unsatisfied performance obligations for (i) contracts with original expected length of one year or less and (ii) contracts for which revenue is recognized at the amount to which the Company has the right to invoice for services performed.</w:t>
      </w:r>
    </w:p>
    <w:p>
      <w:pPr>
        <w:spacing w:after="0" w:line="184"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Company will exclude from its transaction price any amounts collected from customers related to sales and other similar taxes.</w:t>
      </w:r>
    </w:p>
    <w:p>
      <w:pPr>
        <w:spacing w:after="0" w:line="170"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When determining the transaction price of a contract, an adjustment is made if payment from a customer occurs either significantly before or significantly after performance, resulting in a significant financing component. The Company does not assess whether a significant financing component exists if the period between when the Company performs its obligations under the contract and when the customer pays is one year or less. None of the Company’s contracts contained a significant financing component as of March 31, 2021 and 2020, respectively.</w:t>
      </w:r>
    </w:p>
    <w:p>
      <w:pPr>
        <w:spacing w:after="0" w:line="176"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The Company has elected to account for the shipping and handling as an activity to fulfill the promise to transfer the product, and therefore will not evaluate whether shipping and handling activities are promised services to its customers.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Grant revenue</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recognizes grant revenue as it performs services under the arrangement when the funding is committed. Revenues and related research and development expenses are presented gross in the consolidated statements of operations as the Company has determined it is the primary obligor under the arrangement relative to the research and development services.</w:t>
      </w:r>
    </w:p>
    <w:p>
      <w:pPr>
        <w:spacing w:after="0" w:line="18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 xml:space="preserve">Accounting for grants does not fall under ASC 606, as the grantor will not benefit directly from the Company’s expansion or product development. As there is no authoritative guidance under U.S. GAAP on accounting for government assistance to for-profit business entities, the Company has accounted for grants by analogy to International Accounting Standards (IAS) 20, </w:t>
      </w:r>
      <w:r>
        <w:rPr>
          <w:rFonts w:ascii="Arial" w:cs="Arial" w:eastAsia="Arial" w:hAnsi="Arial"/>
          <w:sz w:val="16"/>
          <w:szCs w:val="16"/>
          <w:i w:val="1"/>
          <w:iCs w:val="1"/>
          <w:color w:val="auto"/>
        </w:rPr>
        <w:t>Accounting for Government Grants and Disclosure of Government Assistance</w:t>
      </w:r>
      <w:r>
        <w:rPr>
          <w:rFonts w:ascii="Arial" w:cs="Arial" w:eastAsia="Arial" w:hAnsi="Arial"/>
          <w:sz w:val="16"/>
          <w:szCs w:val="16"/>
          <w:color w:val="auto"/>
        </w:rPr>
        <w:t xml:space="preserve"> (IAS 20).</w:t>
      </w:r>
    </w:p>
    <w:p>
      <w:pPr>
        <w:spacing w:after="0" w:line="157" w:lineRule="exact"/>
        <w:rPr>
          <w:sz w:val="20"/>
          <w:szCs w:val="20"/>
          <w:color w:val="auto"/>
        </w:rPr>
      </w:pPr>
    </w:p>
    <w:p>
      <w:pPr>
        <w:ind w:left="60" w:right="299" w:firstLine="648"/>
        <w:spacing w:after="0" w:line="381" w:lineRule="auto"/>
        <w:rPr>
          <w:sz w:val="20"/>
          <w:szCs w:val="20"/>
          <w:color w:val="auto"/>
        </w:rPr>
      </w:pPr>
      <w:r>
        <w:rPr>
          <w:rFonts w:ascii="Arial" w:cs="Arial" w:eastAsia="Arial" w:hAnsi="Arial"/>
          <w:sz w:val="15"/>
          <w:szCs w:val="15"/>
          <w:color w:val="auto"/>
        </w:rPr>
        <w:t>Grants to the Company contain both monetary amounts granted related to assets and monetary amounts granted related to income, which are grants other than those related to assets. The grants related to assets are for the expansion</w:t>
      </w:r>
    </w:p>
    <w:p>
      <w:pPr>
        <w:sectPr>
          <w:pgSz w:w="11900" w:h="16838" w:orient="portrait"/>
          <w:cols w:equalWidth="0" w:num="1">
            <w:col w:w="9019"/>
          </w:cols>
          <w:pgMar w:left="1440" w:top="517" w:right="1440"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and increase of manufacturing capacity. The grants related to income are for additional research and development, as well as other non-asset related scale up costs.</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Under IAS 20, grants related to assets shall be presented in the consolidated balance sheets either by recognizing the grant as deferred income (which is recognized in the consolidated statements of operations on a systematic basis over the useful life of the asset), or by deducting the grant in calculating the carrying amount of the asset (which is recognized in the consolidated statements of operations over the life of the depreciable asset as a reduced depreciation expense). Both methods are acceptable under IAS 20. The Company has elected to record grants related to assets as a deduction in calculating the carrying value of the asset.</w:t>
      </w:r>
    </w:p>
    <w:p>
      <w:pPr>
        <w:spacing w:after="0" w:line="192"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Under IAS 20, grants related to income are presented as part of the consolidated statements of operations, either separately or under a general heading. Both methods are acceptable under IAS 20. The Company has elected to record grants related to income separately on the consolidated statements of operations as grant revenue. The related expenses are recorded within operating expenses.</w:t>
      </w:r>
    </w:p>
    <w:p>
      <w:pPr>
        <w:spacing w:after="0" w:line="187" w:lineRule="exact"/>
        <w:rPr>
          <w:sz w:val="20"/>
          <w:szCs w:val="20"/>
          <w:color w:val="auto"/>
        </w:rPr>
      </w:pPr>
    </w:p>
    <w:p>
      <w:pPr>
        <w:jc w:val="both"/>
        <w:ind w:left="60" w:right="459" w:firstLine="648"/>
        <w:spacing w:after="0" w:line="311" w:lineRule="auto"/>
        <w:rPr>
          <w:sz w:val="20"/>
          <w:szCs w:val="20"/>
          <w:color w:val="auto"/>
        </w:rPr>
      </w:pPr>
      <w:r>
        <w:rPr>
          <w:rFonts w:ascii="Arial" w:cs="Arial" w:eastAsia="Arial" w:hAnsi="Arial"/>
          <w:sz w:val="16"/>
          <w:szCs w:val="16"/>
          <w:color w:val="auto"/>
        </w:rPr>
        <w:t>On June 22, 2020, the Company entered into a workplan 1 award (WP1) with the National Institute of Health (NIH), under the Rapid Acceleration of Diagnostics (RADx) program to assess the feasibility of a novel SARS-CoV-2 antigen detection test using the Company’s Simoa technology. WP1 was complete as of December 31, 2020.</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September 29, 2020, the Company entered into a workplan 2 award (WP2) with the NIH under its RADx</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program. WP2, which has a total award value of $18.2 million, accelerates the continued development, scale-up,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deployment of the novel SARS-CoV-2 antigen detection test using the Company’s Simoa technology. The contract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provides funding to expand assay kit manufacturing capacity and commercial deployment readiness. Release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$18.2 million of funding under WP2 is based on the achievement of certain milestones, and there is no assurance that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can meet all the milestones on a timely basis, if at all. If the Company does not meet all of the milestones, it will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 be able access the full $18.2 million in funding under the contract. During the three months ended March 31, 2021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Company recognized $2.3 million in grant revenue and incurred $1.8 million in research and development expense related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WP2.</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activity under WP2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4"/>
                <w:szCs w:val="14"/>
                <w:color w:val="auto"/>
              </w:rPr>
            </w:pPr>
          </w:p>
        </w:tc>
        <w:tc>
          <w:tcPr>
            <w:tcW w:w="158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December 31, 2020</w:t>
            </w:r>
          </w:p>
        </w:tc>
      </w:tr>
      <w:tr>
        <w:trPr>
          <w:trHeight w:val="210"/>
        </w:trPr>
        <w:tc>
          <w:tcPr>
            <w:tcW w:w="49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grant revenue from research and development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Total proceeds used for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4,622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826</w:t>
            </w: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proceeds for assets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1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grant revenue</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1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recognized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recognized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Total amount accrued</w:t>
            </w:r>
          </w:p>
        </w:tc>
        <w:tc>
          <w:tcPr>
            <w:tcW w:w="260" w:type="dxa"/>
            <w:vAlign w:val="bottom"/>
          </w:tcPr>
          <w:p>
            <w:pPr>
              <w:spacing w:after="0"/>
              <w:rPr>
                <w:sz w:val="18"/>
                <w:szCs w:val="18"/>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color w:val="auto"/>
              </w:rPr>
              <w:t>(2,961)</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(2,968)</w:t>
            </w:r>
          </w:p>
        </w:tc>
      </w:tr>
      <w:tr>
        <w:trPr>
          <w:trHeight w:val="21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received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proceeds received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1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proceeds reasonably assured</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w:t>
            </w:r>
          </w:p>
        </w:tc>
      </w:tr>
      <w:tr>
        <w:trPr>
          <w:trHeight w:val="20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WP2 grant amount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18,200</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loss per share</w:t>
      </w:r>
    </w:p>
    <w:p>
      <w:pPr>
        <w:spacing w:after="0" w:line="229" w:lineRule="exact"/>
        <w:rPr>
          <w:sz w:val="20"/>
          <w:szCs w:val="20"/>
          <w:color w:val="auto"/>
        </w:rPr>
      </w:pPr>
    </w:p>
    <w:p>
      <w:pPr>
        <w:ind w:left="60" w:right="139" w:firstLine="621"/>
        <w:spacing w:after="0" w:line="286"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dilutive securities outstanding for the period determined using the treasury-stock and if-converted methods. For purposes of the diluted net loss per share calculation, unvested restricted common stock, restricted stock units, stock options, and warrants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80" w:lineRule="exact"/>
        <w:rPr>
          <w:sz w:val="20"/>
          <w:szCs w:val="20"/>
          <w:color w:val="auto"/>
        </w:rPr>
      </w:pPr>
    </w:p>
    <w:p>
      <w:pPr>
        <w:ind w:left="60" w:right="539" w:firstLine="441"/>
        <w:spacing w:after="0" w:line="342" w:lineRule="auto"/>
        <w:rPr>
          <w:sz w:val="20"/>
          <w:szCs w:val="20"/>
          <w:color w:val="auto"/>
        </w:rPr>
      </w:pPr>
      <w:r>
        <w:rPr>
          <w:rFonts w:ascii="Arial" w:cs="Arial" w:eastAsia="Arial" w:hAnsi="Arial"/>
          <w:sz w:val="16"/>
          <w:szCs w:val="16"/>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563,810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561,786</w:t>
            </w:r>
          </w:p>
        </w:tc>
        <w:tc>
          <w:tcPr>
            <w:tcW w:w="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2,428,268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2,840,525</w:t>
            </w:r>
          </w:p>
        </w:tc>
        <w:tc>
          <w:tcPr>
            <w:tcW w:w="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2,992,078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3,412,311</w:t>
            </w:r>
          </w:p>
        </w:tc>
        <w:tc>
          <w:tcPr>
            <w:tcW w:w="6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 of March 31, 2021 and 2020, the Company had an obligation to issue warrants to purchase an additional 93,341 shares of common stock to a vendor if a contract is terminated prior to a minimum purchase commitment being met. No amounts are presented in the table above for this obligation to issue a warrant as the issuance of the warrant is not considered probable.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 xml:space="preserve">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6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170"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March 31, 2021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9"/>
              </w:rPr>
              <w:t>Quoted prices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62"/>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markets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inputs</w:t>
            </w:r>
          </w:p>
        </w:tc>
      </w:tr>
      <w:tr>
        <w:trPr>
          <w:trHeight w:val="171"/>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inputs (Level 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162,059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w:t>
            </w:r>
          </w:p>
        </w:tc>
      </w:tr>
      <w:tr>
        <w:trPr>
          <w:trHeight w:val="210"/>
        </w:trPr>
        <w:tc>
          <w:tcPr>
            <w:tcW w:w="48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Fair value measurements as of December 31, 2020 are as follows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Quoted prices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180" w:type="dxa"/>
            <w:vAlign w:val="bottom"/>
            <w:gridSpan w:val="7"/>
          </w:tcPr>
          <w:p>
            <w:pPr>
              <w:ind w:left="20"/>
              <w:spacing w:after="0" w:line="149" w:lineRule="exact"/>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markets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rPr>
              <w:t>inputs (Level 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$ 162,048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w w:val="95"/>
              </w:rPr>
              <w:t>162,048</w:t>
            </w:r>
          </w:p>
        </w:tc>
        <w:tc>
          <w:tcPr>
            <w:tcW w:w="120" w:type="dxa"/>
            <w:vAlign w:val="bottom"/>
          </w:tcPr>
          <w:p>
            <w:pPr>
              <w:spacing w:after="0"/>
              <w:rPr>
                <w:sz w:val="18"/>
                <w:szCs w:val="18"/>
                <w:color w:val="auto"/>
              </w:rPr>
            </w:pPr>
          </w:p>
        </w:tc>
        <w:tc>
          <w:tcPr>
            <w:tcW w:w="1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$ 162,048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5"/>
              </w:rPr>
              <w:t>162,048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Inventory</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Inventory consists of the following (in thousands):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5,608</w:t>
            </w:r>
          </w:p>
        </w:tc>
        <w:tc>
          <w:tcPr>
            <w:tcW w:w="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4,012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3,306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7,424</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17,044</w:t>
            </w:r>
          </w:p>
        </w:tc>
        <w:tc>
          <w:tcPr>
            <w:tcW w:w="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14,856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Inventory comprises commercial instruments, assays, and the materials required to manufacture limited instruments and assays.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Allowance for Credit Losses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 Due to the short-term nature of such receivables, the estimated accounts receivable that may not be collected is based on aging of the accounts receivable balances.</w:t>
      </w:r>
    </w:p>
    <w:p>
      <w:pPr>
        <w:spacing w:after="0" w:line="18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Customers are assessed for credit worthiness upfront through a credit review, which includes assessment based on the Company’s analysis of their financial statements when a credit rating is not available. The Company evaluates contract terms and 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uncollectable after all collection efforts have been exhausted.</w:t>
      </w:r>
    </w:p>
    <w:p>
      <w:pPr>
        <w:spacing w:after="0" w:line="178" w:lineRule="exact"/>
        <w:rPr>
          <w:sz w:val="20"/>
          <w:szCs w:val="20"/>
          <w:color w:val="auto"/>
        </w:rPr>
      </w:pPr>
    </w:p>
    <w:p>
      <w:pPr>
        <w:jc w:val="both"/>
        <w:ind w:left="60" w:right="499" w:firstLine="648"/>
        <w:spacing w:after="0" w:line="259" w:lineRule="auto"/>
        <w:rPr>
          <w:sz w:val="20"/>
          <w:szCs w:val="20"/>
          <w:color w:val="auto"/>
        </w:rPr>
      </w:pPr>
      <w:r>
        <w:rPr>
          <w:rFonts w:ascii="Arial" w:cs="Arial" w:eastAsia="Arial" w:hAnsi="Arial"/>
          <w:sz w:val="18"/>
          <w:szCs w:val="18"/>
          <w:color w:val="auto"/>
        </w:rPr>
        <w:t>As of March 31, 2021, the Company’s accounts receivable balance was $14.9 million, net of $0.3 million of allowance for credit losses. The following table provides a roll-forward of the allowance for credit losses for the three months ended March 31, 2021 that is deducted from the amortized cost basis of accounts receivable to present the net amount expected to be collected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434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Credit loss expense</w:t>
            </w:r>
          </w:p>
        </w:tc>
        <w:tc>
          <w:tcPr>
            <w:tcW w:w="3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 charged against allowances</w:t>
            </w:r>
          </w:p>
        </w:tc>
        <w:tc>
          <w:tcPr>
            <w:tcW w:w="35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3560" w:type="dxa"/>
            <w:vAlign w:val="bottom"/>
          </w:tcPr>
          <w:p>
            <w:pPr>
              <w:spacing w:after="0"/>
              <w:rPr>
                <w:sz w:val="18"/>
                <w:szCs w:val="18"/>
                <w:color w:val="auto"/>
              </w:rPr>
            </w:pP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560" w:type="dxa"/>
            <w:vAlign w:val="bottom"/>
            <w:vMerge w:val="restart"/>
          </w:tcPr>
          <w:p>
            <w:pPr>
              <w:jc w:val="right"/>
              <w:ind w:right="2470"/>
              <w:spacing w:after="0"/>
              <w:rPr>
                <w:sz w:val="20"/>
                <w:szCs w:val="20"/>
                <w:color w:val="auto"/>
              </w:rPr>
            </w:pPr>
            <w:r>
              <w:rPr>
                <w:rFonts w:ascii="Arial" w:cs="Arial" w:eastAsia="Arial" w:hAnsi="Arial"/>
                <w:sz w:val="18"/>
                <w:szCs w:val="18"/>
                <w:color w:val="auto"/>
              </w:rPr>
              <w:t>18</w:t>
            </w: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35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accrued expenses and other non-current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9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inventory purchases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property and equipment purchases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royalties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development costs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660"/>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4"/>
                <w:szCs w:val="24"/>
                <w:color w:val="auto"/>
              </w:rPr>
            </w:pPr>
          </w:p>
        </w:tc>
        <w:tc>
          <w:tcPr>
            <w:tcW w:w="96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9"/>
        </w:trPr>
        <w:tc>
          <w:tcPr>
            <w:tcW w:w="6560" w:type="dxa"/>
            <w:vAlign w:val="bottom"/>
          </w:tcPr>
          <w:p>
            <w:pPr>
              <w:ind w:left="12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1599" w:hanging="10"/>
        <w:spacing w:after="0" w:line="503" w:lineRule="auto"/>
        <w:tabs>
          <w:tab w:leader="none" w:pos="2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ind w:left="60" w:right="559" w:firstLine="648"/>
        <w:spacing w:after="0" w:line="263" w:lineRule="auto"/>
        <w:rPr>
          <w:sz w:val="20"/>
          <w:szCs w:val="20"/>
          <w:color w:val="auto"/>
        </w:rPr>
      </w:pPr>
      <w:r>
        <w:rPr>
          <w:rFonts w:ascii="Arial" w:cs="Arial" w:eastAsia="Arial" w:hAnsi="Arial"/>
          <w:sz w:val="18"/>
          <w:szCs w:val="18"/>
          <w:color w:val="auto"/>
        </w:rPr>
        <w:t>On January 20, 2021, 10,000 warrants were exercised by a holder on a net, non-cash, basis. Per terms of the warrant agreement, the Company issued 7,347 shares of common stock with a value equal to the holder’s gain. The Company had no warrants outstanding as of March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Stock-based compensation expense for all stock awards consists of the following (in thousands):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CCEEFF"/>
          </w:tcPr>
          <w:p>
            <w:pPr>
              <w:spacing w:after="0"/>
              <w:rPr>
                <w:sz w:val="18"/>
                <w:szCs w:val="18"/>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80" w:type="dxa"/>
            <w:vAlign w:val="bottom"/>
            <w:tcBorders>
              <w:bottom w:val="single" w:sz="8" w:color="CCEEFF"/>
            </w:tcBorders>
          </w:tcPr>
          <w:p>
            <w:pPr>
              <w:spacing w:after="0"/>
              <w:rPr>
                <w:sz w:val="18"/>
                <w:szCs w:val="18"/>
                <w:color w:val="auto"/>
              </w:rPr>
            </w:pPr>
          </w:p>
        </w:tc>
      </w:tr>
      <w:tr>
        <w:trPr>
          <w:trHeight w:val="210"/>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In June 2007, the Company adopted the 2007 Stock Option and Grant Plan (the 2007 Plan), under which it could grant incentive stock options, non-qualified options, restricted stock, and stock grants. In connection with the completion of the IPO, the Company terminated the 2007 Plan. As of March 31, 2021, 736,958 shares were outstanding, and no shares were available for future grant under the 2007 Plan.</w:t>
      </w:r>
    </w:p>
    <w:p>
      <w:pPr>
        <w:spacing w:after="0" w:line="187"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of common stock plus up to 2,490,290 shares of common stock represented by awards granted under the 2007 Plan that are forfeited, expire, or are cancelled without delivery of shares or which result in the forfeiture of shares of common stock</w:t>
      </w:r>
    </w:p>
    <w:p>
      <w:pPr>
        <w:sectPr>
          <w:pgSz w:w="11900" w:h="16838" w:orient="portrait"/>
          <w:cols w:equalWidth="0" w:num="1">
            <w:col w:w="9019"/>
          </w:cols>
          <w:pgMar w:left="1440" w:top="517"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back to the Company on or after the date the 2017 Plan became effective. As of March 31, 2021, there were shares available for grant under the 2017 Plan of 1,637,976.</w:t>
      </w:r>
    </w:p>
    <w:p>
      <w:pPr>
        <w:spacing w:after="0" w:line="170"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 On January 1, 2021, the number of shares of common stock available for issuance under the 2017 plan was automatically increased by 1,273,501 shares.</w:t>
      </w:r>
    </w:p>
    <w:p>
      <w:pPr>
        <w:spacing w:after="0" w:line="164"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In December 2017, the Company adopted the 2017 Employee Stock Purchase Plan (the 2017 ESPP). As December 31, 2020, the 2017 ESPP allowed for the issuance of up to 848,269 shares of common stock. As of March 31, 2021, 1,149,407 shares were available for grant under the 2017 ESPP.</w:t>
      </w:r>
    </w:p>
    <w:p>
      <w:pPr>
        <w:spacing w:after="0" w:line="184"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In addition, 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318,375 shares on January 1, 2021 due to this provision.</w:t>
      </w:r>
    </w:p>
    <w:p>
      <w:pPr>
        <w:spacing w:after="0" w:line="176"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2017 ESPP provides for six-month option periods commencing on March 1 and ending August 31 and commencing September 1 and ending February 28 of each calendar year. The first offering under the 2017 ESPP began on September 1, 2018.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Under the 2007 Plan and the 2017 Plan,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Plan and the 2017 Plan was as follows:</w:t>
      </w:r>
    </w:p>
    <w:p>
      <w:pPr>
        <w:spacing w:after="0" w:line="190"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Weighted-average</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1"/>
              </w:rPr>
              <w:t>Remaining contractual</w:t>
            </w:r>
          </w:p>
        </w:tc>
        <w:tc>
          <w:tcPr>
            <w:tcW w:w="168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Aggregate intrinsic value</w:t>
            </w:r>
          </w:p>
        </w:tc>
      </w:tr>
      <w:tr>
        <w:trPr>
          <w:trHeight w:val="171"/>
        </w:trPr>
        <w:tc>
          <w:tcPr>
            <w:tcW w:w="24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420" w:type="dxa"/>
            <w:vAlign w:val="bottom"/>
          </w:tcPr>
          <w:p>
            <w:pPr>
              <w:jc w:val="right"/>
              <w:ind w:right="236"/>
              <w:spacing w:after="0"/>
              <w:rPr>
                <w:sz w:val="20"/>
                <w:szCs w:val="20"/>
                <w:color w:val="auto"/>
              </w:rPr>
            </w:pPr>
            <w:r>
              <w:rPr>
                <w:rFonts w:ascii="Arial" w:cs="Arial" w:eastAsia="Arial" w:hAnsi="Arial"/>
                <w:sz w:val="14"/>
                <w:szCs w:val="14"/>
                <w:b w:val="1"/>
                <w:bCs w:val="1"/>
                <w:color w:val="auto"/>
              </w:rPr>
              <w:t>life (in 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(in thousands)</w:t>
            </w:r>
          </w:p>
        </w:tc>
      </w:tr>
      <w:tr>
        <w:trPr>
          <w:trHeight w:val="182"/>
        </w:trPr>
        <w:tc>
          <w:tcPr>
            <w:tcW w:w="24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at</w:t>
            </w: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2,494,045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71,760</w:t>
            </w: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241,713</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69.97</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(281,324)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4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(26,166)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35.98</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Outstanding at March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2,428,268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88,387</w:t>
            </w:r>
          </w:p>
        </w:tc>
      </w:tr>
      <w:tr>
        <w:trPr>
          <w:trHeight w:val="202"/>
        </w:trPr>
        <w:tc>
          <w:tcPr>
            <w:tcW w:w="2460" w:type="dxa"/>
            <w:vAlign w:val="bottom"/>
          </w:tcPr>
          <w:p>
            <w:pPr>
              <w:spacing w:after="0" w:line="201" w:lineRule="exact"/>
              <w:rPr>
                <w:sz w:val="20"/>
                <w:szCs w:val="20"/>
                <w:color w:val="auto"/>
              </w:rPr>
            </w:pPr>
            <w:r>
              <w:rPr>
                <w:rFonts w:ascii="Arial" w:cs="Arial" w:eastAsia="Arial" w:hAnsi="Arial"/>
                <w:sz w:val="18"/>
                <w:szCs w:val="18"/>
                <w:color w:val="auto"/>
                <w:w w:val="98"/>
              </w:rPr>
              <w:t>Vested and expected to vest at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March 31, 2021</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2,428,268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23.52</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7.37</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88,387</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1,428,652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63,050</w:t>
            </w:r>
          </w:p>
        </w:tc>
      </w:tr>
    </w:tbl>
    <w:p>
      <w:pPr>
        <w:spacing w:after="0" w:line="202" w:lineRule="exact"/>
        <w:rPr>
          <w:sz w:val="20"/>
          <w:szCs w:val="20"/>
          <w:color w:val="auto"/>
        </w:rPr>
      </w:pPr>
    </w:p>
    <w:p>
      <w:pPr>
        <w:jc w:val="both"/>
        <w:ind w:left="60" w:right="179" w:firstLine="648"/>
        <w:spacing w:after="0" w:line="287" w:lineRule="auto"/>
        <w:rPr>
          <w:sz w:val="20"/>
          <w:szCs w:val="20"/>
          <w:color w:val="auto"/>
        </w:rPr>
      </w:pPr>
      <w:r>
        <w:rPr>
          <w:rFonts w:ascii="Arial" w:cs="Arial" w:eastAsia="Arial" w:hAnsi="Arial"/>
          <w:sz w:val="16"/>
          <w:szCs w:val="16"/>
          <w:color w:val="auto"/>
        </w:rPr>
        <w:t>Using the Black-Scholes option pricing model, the weighted-average fair value of options granted to employees and directors during the three months ended March 31, 2021 and 2020 was $32.83 and $11.82 per share, respectively. The expense related to awards granted to employees was $1.5 million and $1.1 million for the three months ended</w:t>
      </w:r>
    </w:p>
    <w:p>
      <w:pPr>
        <w:spacing w:after="0" w:line="2"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March 31, 2021 and 2020, respectively. The intrinsic value of stock options exercised was $16.2 million and $1.1 million for the three months ended March 31, 2021 and 2020, respectively. Activity related to non-employee awards was not material to the three months ended March 31, 2021 and 2020.</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Restricted common stock awards represent shares of common stock issued to employees subject to forfeiture if the vesting conditions are not satisfied. Vesting occurs periodically at specified time intervals and specified percentages. In January 2015, the Company issued 781,060 shares of restricted common stock to an executive of the Company under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2007 Plan. The majority of these shares were issued subject to a four-year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common stock awards were granted or vested during the three months ended March 31, 2021. As of March 31, 2021, the Company had 39,806 shares of unvested restricted common stock with a weighted average grant date fair value of $3.12 per share.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6"/>
          <w:szCs w:val="16"/>
          <w:color w:val="auto"/>
        </w:rPr>
        <w:t>Restricted stock units (RSUs) represent the right to receive shares of common stock upon meeting specified vesting requirements. In the three months ended March 31, 2021, the Company issued 140,814 RSUs to employees of the Company under the 2017 Plan. Under the terms of the agreements, 126,007 of the RSUs issued are subject to a four-year vesting schedule with 25% vesting on the first anniversary of the grant date and the remaining vesting 75% ratably on</w:t>
      </w:r>
    </w:p>
    <w:p>
      <w:pPr>
        <w:spacing w:after="0" w:line="1" w:lineRule="exact"/>
        <w:rPr>
          <w:sz w:val="20"/>
          <w:szCs w:val="20"/>
          <w:color w:val="auto"/>
        </w:rPr>
      </w:pPr>
    </w:p>
    <w:p>
      <w:pPr>
        <w:ind w:left="60" w:right="759"/>
        <w:spacing w:after="0" w:line="260" w:lineRule="auto"/>
        <w:rPr>
          <w:sz w:val="20"/>
          <w:szCs w:val="20"/>
          <w:color w:val="auto"/>
        </w:rPr>
      </w:pPr>
      <w:r>
        <w:rPr>
          <w:rFonts w:ascii="Arial" w:cs="Arial" w:eastAsia="Arial" w:hAnsi="Arial"/>
          <w:sz w:val="18"/>
          <w:szCs w:val="18"/>
          <w:color w:val="auto"/>
        </w:rPr>
        <w:t>a monthly basis over the remaining three years; 13,620 of the RSUs vest on December 31, 2021; and 1,187 vested immediately upon grant. A summary of RSU activity is as follows: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7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as of December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140,814</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(85,346)</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Cancelled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400" w:type="dxa"/>
            <w:vAlign w:val="bottom"/>
            <w:tcBorders>
              <w:bottom w:val="single" w:sz="8" w:color="CCEEFF"/>
            </w:tcBorders>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RSUs as of March 31,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524,004</w:t>
            </w:r>
          </w:p>
        </w:tc>
        <w:tc>
          <w:tcPr>
            <w:tcW w:w="400" w:type="dxa"/>
            <w:vAlign w:val="bottom"/>
            <w:tcBorders>
              <w:bottom w:val="single" w:sz="8" w:color="CCEEFF"/>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The expense related to awards granted to employees and directors was $1.7 million and $0.9 million for the three months ended March 31, 2021 and 2020, respectively.</w:t>
      </w:r>
    </w:p>
    <w:p>
      <w:pPr>
        <w:spacing w:after="0" w:line="170"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As of March 31, 2021, there was $19.9 million of total unrecognized compensation cost related to unvested RSUs, which is expected to be recognized over the remaining weighted-average vesting period of 3.1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 Company is a lessee under leases of offices, lab spaces, and certain office equipment. Some of the Company’s leases include options to extend the lease, and these options are included in the lease term to the extent they are reasonably certain to be exercised.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all lease costs recognized under ASC 842</w:t>
      </w:r>
    </w:p>
    <w:p>
      <w:pPr>
        <w:spacing w:after="0" w:line="229"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three months ended March 31,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1"/>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 (in thousands)</w:t>
            </w:r>
          </w:p>
        </w:tc>
        <w:tc>
          <w:tcPr>
            <w:tcW w:w="260" w:type="dxa"/>
            <w:vAlign w:val="bottom"/>
          </w:tcPr>
          <w:p>
            <w:pPr>
              <w:spacing w:after="0"/>
              <w:rPr>
                <w:sz w:val="17"/>
                <w:szCs w:val="17"/>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Costs (1)</w:t>
            </w:r>
          </w:p>
        </w:tc>
        <w:tc>
          <w:tcPr>
            <w:tcW w:w="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Operating lease costs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0"/>
              <w:spacing w:after="0"/>
              <w:rPr>
                <w:sz w:val="20"/>
                <w:szCs w:val="20"/>
                <w:color w:val="auto"/>
              </w:rPr>
            </w:pPr>
            <w:r>
              <w:rPr>
                <w:rFonts w:ascii="Arial" w:cs="Arial" w:eastAsia="Arial" w:hAnsi="Arial"/>
                <w:sz w:val="18"/>
                <w:szCs w:val="18"/>
                <w:color w:val="auto"/>
              </w:rPr>
              <w:t>Other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used for operating leases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20"/>
              <w:spacing w:after="0"/>
              <w:rPr>
                <w:sz w:val="20"/>
                <w:szCs w:val="20"/>
                <w:color w:val="auto"/>
              </w:rPr>
            </w:pPr>
            <w:r>
              <w:rPr>
                <w:rFonts w:ascii="Arial" w:cs="Arial" w:eastAsia="Arial" w:hAnsi="Arial"/>
                <w:sz w:val="18"/>
                <w:szCs w:val="18"/>
                <w:color w:val="auto"/>
              </w:rPr>
              <w:t>Weighted average remaining lease term (years)</w:t>
            </w:r>
          </w:p>
        </w:tc>
        <w:tc>
          <w:tcPr>
            <w:tcW w:w="26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9.6 years</w:t>
            </w:r>
          </w:p>
        </w:tc>
        <w:tc>
          <w:tcPr>
            <w:tcW w:w="280" w:type="dxa"/>
            <w:vAlign w:val="bottom"/>
          </w:tcPr>
          <w:p>
            <w:pPr>
              <w:spacing w:after="0"/>
              <w:rPr>
                <w:sz w:val="18"/>
                <w:szCs w:val="18"/>
                <w:color w:val="auto"/>
              </w:rPr>
            </w:pPr>
          </w:p>
        </w:tc>
        <w:tc>
          <w:tcPr>
            <w:tcW w:w="1800" w:type="dxa"/>
            <w:vAlign w:val="bottom"/>
            <w:gridSpan w:val="2"/>
          </w:tcPr>
          <w:p>
            <w:pPr>
              <w:ind w:left="580"/>
              <w:spacing w:after="0"/>
              <w:rPr>
                <w:sz w:val="20"/>
                <w:szCs w:val="20"/>
                <w:color w:val="auto"/>
              </w:rPr>
            </w:pPr>
            <w:r>
              <w:rPr>
                <w:rFonts w:ascii="Arial" w:cs="Arial" w:eastAsia="Arial" w:hAnsi="Arial"/>
                <w:sz w:val="18"/>
                <w:szCs w:val="18"/>
                <w:color w:val="auto"/>
              </w:rPr>
              <w:t>10.3 years</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879" w:firstLine="638"/>
        <w:spacing w:after="0" w:line="277" w:lineRule="auto"/>
        <w:tabs>
          <w:tab w:leader="none" w:pos="963" w:val="left"/>
        </w:tabs>
        <w:numPr>
          <w:ilvl w:val="1"/>
          <w:numId w:val="4"/>
        </w:numPr>
        <w:rPr>
          <w:rFonts w:ascii="Arial" w:cs="Arial" w:eastAsia="Arial" w:hAnsi="Arial"/>
          <w:sz w:val="18"/>
          <w:szCs w:val="18"/>
          <w:color w:val="auto"/>
        </w:rPr>
      </w:pPr>
      <w:r>
        <w:rPr>
          <w:rFonts w:ascii="Arial" w:cs="Arial" w:eastAsia="Arial" w:hAnsi="Arial"/>
          <w:sz w:val="18"/>
          <w:szCs w:val="18"/>
          <w:color w:val="auto"/>
        </w:rPr>
        <w:t>Short-term lease costs and variable lease costs incurred by the Company for the three months ended March 31, 2021 and 2020 were immaterial, respectively.</w:t>
      </w:r>
    </w:p>
    <w:p>
      <w:pPr>
        <w:spacing w:after="0" w:line="206" w:lineRule="exact"/>
        <w:rPr>
          <w:rFonts w:ascii="Arial" w:cs="Arial" w:eastAsia="Arial" w:hAnsi="Arial"/>
          <w:sz w:val="18"/>
          <w:szCs w:val="18"/>
          <w:color w:val="auto"/>
        </w:rPr>
      </w:pPr>
    </w:p>
    <w:p>
      <w:pPr>
        <w:ind w:left="320" w:hanging="270"/>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Tufts University</w:t>
      </w:r>
    </w:p>
    <w:p>
      <w:pPr>
        <w:spacing w:after="0" w:line="22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In June 2007, the Company entered into a license agreement (the License Agreement) for certain intellectual property with Tufts University (Tufts). Tufts is a related party to the Company due to Tufts’ equity ownership in the Company and because a member of the Company’s Board of Directors was affiliated with Tufts. The License Agreement, which was subsequently amended, is exclusive and sublicensable, and will continue in effect on a country-by-country basis as long as there is a valid claim of a licensed patent in a country. The Company is committed to pay license and maintenance fees, prior to commercialization, in addition to low single digit royalties on direct sales and services and a royalty on sublicense income. During the three months ended March 31, 2021 and 2020, the Company recorded royalty expense of $0.5 million and $0.2 million, respectively, in cost of product revenue on the consolidated statements of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Supply agreement</w:t>
      </w:r>
    </w:p>
    <w:p>
      <w:pPr>
        <w:spacing w:after="0" w:line="22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plus a fee based on the shortfall of commercial units purchased compared to the required minimum amount. Based on the number of commercial instruments purchased as of March 31, 2021, the Company has satisfied its required minimum purchase amount per the supply agreement.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Supply Warrants as of March 31, 2021 and December 31, 2020 was insignificant as there was a low probability of the warrants being issued.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83" w:lineRule="exact"/>
        <w:rPr>
          <w:sz w:val="20"/>
          <w:szCs w:val="20"/>
          <w:color w:val="auto"/>
        </w:rPr>
      </w:pPr>
    </w:p>
    <w:p>
      <w:pPr>
        <w:ind w:left="60" w:right="7619" w:hanging="10"/>
        <w:spacing w:after="0" w:line="603" w:lineRule="auto"/>
        <w:tabs>
          <w:tab w:leader="none" w:pos="33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Loan agreement</w:t>
      </w:r>
    </w:p>
    <w:p>
      <w:pPr>
        <w:spacing w:after="0" w:line="1"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On April 14, 2014, the Company executed a loan agreement with a lender, as subsequently amended. As of March 31, 2021, there were no additional amounts available to borrow under the debt facility. The interest rate on this term loan is variable based on the greater of 8% or 8% plus the prime rate less 5.25%. Interest is paid monthly beginning</w:t>
      </w:r>
    </w:p>
    <w:p>
      <w:pPr>
        <w:spacing w:after="0" w:line="2"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month following the borrowing date. At loan inception and in connection with the amendments, the Company issued the lender warrants to purchase shares of stock. The loan agreement also contains prepayment penalties and an end of term charge. Fees incurred upon execution of the agreements, and the fair value of warrants on the date of grant were accounted for as a reduction in the book value of debt and accreted through interest expense, using the effective interest rate method, over the term of the debt. Under the amended agreement, the Company is required to pay the loan principal in four equal installments starting July 1, 2021, with the final payment and end of term charge to be made on October 1, 2021.</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March 31, 2021, debt payment obligations due based on principal payments are as follows (in thousands):</w:t>
      </w:r>
    </w:p>
    <w:p>
      <w:pPr>
        <w:spacing w:after="0" w:line="276"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7,688</w:t>
            </w: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$0.1 million or less for each of the three months ended March 31, 2021 and 2020.</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02"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The Company has entered into certain licenses with other companies for use of the Company’s technology. These licenses have royalty components which the Company earns and recognizes as collaboration and license revenue throughout the year. The Company recognized revenue of $0.3 million for the three months ended March 31, 2021 and $0.1 million for the three months ended March 31, 2020 associated with these licenses.</w:t>
      </w:r>
    </w:p>
    <w:p>
      <w:pPr>
        <w:spacing w:after="0" w:line="171"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As of March 31, 2021 and December 31, 2020, the Company had $0.5 million of deferred revenue related to ongoing negotiations with a diagnostics company.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Abbott Laboratories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 xml:space="preserve">On September 29, 2020, the Company entered into a Non-Exclusive License Agreement (the Abbott License Agreement) with Abbott Laboratories (Abbott). Pursuant to the terms of the Abbott License Agreement, the Company granted Abbott a non-exclusive, worldwide, royalty-bearing license, without the right to sublicense, under the Company’s bead-based single molecule detection patents (Licensed Patents) in the field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Abbott agreed to pay the Company an initial license fee of $10.0 million in connection with the execution of the Abbott License Agreement, which was recognized as license revenue during the 2020 fiscal year. Abbott has also agreed to pay the Company milestone fees subject to the achievement by Abbott of certain development, regulatory and commercialization milestones and low single-digit royalties on net sales of licensed products.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Abbott License Agreement includes customary representations and warranties, covenants and indemnification obligations for a transaction of this nature. The Abbot License Agreement became effective upon signing and will continue until expiration of the last-to-expire Licensed Patent, or the agreement is earlier terminated. Under the terms of the Abbott License Agreement, the Company and Abbott each have the right to terminate the agreement for uncured material breach by, or insolvency of, the other party. Abbott may also terminate the Abbott License Agreement at any time without cause upon 60 days’ notice.</w:t>
      </w:r>
    </w:p>
    <w:p>
      <w:pPr>
        <w:spacing w:after="0" w:line="192"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During the three months ended March 31, 2021, the Company recognized no revenue under the Abbott License Agreement.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Employee benefit plans</w:t>
      </w:r>
    </w:p>
    <w:p>
      <w:pPr>
        <w:spacing w:after="0" w:line="229"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color w:val="auto"/>
        </w:rPr>
        <w:t>The Company sponsors a 401(k) savings plan for its employees. The Company may make discretionary contributions for each 401(k) plan year. During the three months ended March 31, 2021 and 2020, the Company made contributions of $0.2 million and $0.1 million,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Goodwill and acquired intangible assets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March 31, 2021, the carrying amount of goodwill was $9.9 million. The following is a rollforward of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goodwill balance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Goodwill</w:t>
            </w:r>
          </w:p>
        </w:tc>
        <w:tc>
          <w:tcPr>
            <w:tcW w:w="0" w:type="dxa"/>
            <w:vAlign w:val="bottom"/>
          </w:tcPr>
          <w:p>
            <w:pPr>
              <w:spacing w:after="0"/>
              <w:rPr>
                <w:sz w:val="1"/>
                <w:szCs w:val="1"/>
                <w:color w:val="auto"/>
              </w:rPr>
            </w:pPr>
          </w:p>
        </w:tc>
      </w:tr>
      <w:tr>
        <w:trPr>
          <w:trHeight w:val="209"/>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Balance as of March 31, 2021</w:t>
            </w:r>
          </w:p>
        </w:tc>
        <w:tc>
          <w:tcPr>
            <w:tcW w:w="1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0" w:type="dxa"/>
            <w:vAlign w:val="bottom"/>
          </w:tcPr>
          <w:p>
            <w:pPr>
              <w:spacing w:after="0"/>
              <w:rPr>
                <w:sz w:val="1"/>
                <w:szCs w:val="1"/>
                <w:color w:val="auto"/>
              </w:rPr>
            </w:pPr>
          </w:p>
        </w:tc>
      </w:tr>
      <w:tr>
        <w:trPr>
          <w:trHeight w:val="20"/>
        </w:trPr>
        <w:tc>
          <w:tcPr>
            <w:tcW w:w="7140" w:type="dxa"/>
            <w:vAlign w:val="bottom"/>
            <w:gridSpan w:val="15"/>
            <w:vMerge w:val="restart"/>
          </w:tcPr>
          <w:p>
            <w:pPr>
              <w:ind w:left="640"/>
              <w:spacing w:after="0"/>
              <w:rPr>
                <w:sz w:val="20"/>
                <w:szCs w:val="20"/>
                <w:color w:val="auto"/>
              </w:rPr>
            </w:pPr>
            <w:r>
              <w:rPr>
                <w:rFonts w:ascii="Arial" w:cs="Arial" w:eastAsia="Arial" w:hAnsi="Arial"/>
                <w:sz w:val="18"/>
                <w:szCs w:val="18"/>
                <w:color w:val="auto"/>
                <w:w w:val="93"/>
              </w:rPr>
              <w:t>Acquired intangible assets as of March 31, 2021 consist of the following (in thousands):</w:t>
            </w: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40" w:type="dxa"/>
            <w:vAlign w:val="bottom"/>
            <w:gridSpan w:val="15"/>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 2021</w:t>
            </w: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40" w:type="dxa"/>
            <w:vAlign w:val="bottom"/>
            <w:gridSpan w:val="2"/>
          </w:tcPr>
          <w:p>
            <w:pPr>
              <w:jc w:val="center"/>
              <w:ind w:right="392"/>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gridSpan w:val="2"/>
          </w:tcPr>
          <w:p>
            <w:pPr>
              <w:jc w:val="center"/>
              <w:ind w:right="392"/>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5"/>
                <w:szCs w:val="15"/>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10"/>
        </w:trPr>
        <w:tc>
          <w:tcPr>
            <w:tcW w:w="2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10,976</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12,464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Acquired intangible assets as of December 31, 2020 consist of the following (in thousands):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295"/>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Estimated Useful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0"/>
                <w:szCs w:val="10"/>
                <w:color w:val="auto"/>
              </w:rPr>
            </w:pPr>
          </w:p>
        </w:tc>
        <w:tc>
          <w:tcPr>
            <w:tcW w:w="8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Cumulative</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1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3"/>
                <w:szCs w:val="13"/>
                <w:color w:val="auto"/>
              </w:rPr>
            </w:pPr>
          </w:p>
        </w:tc>
        <w:tc>
          <w:tcPr>
            <w:tcW w:w="7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4"/>
              </w:rPr>
              <w:t>Life Remaining (in years)</w:t>
            </w:r>
          </w:p>
        </w:tc>
        <w:tc>
          <w:tcPr>
            <w:tcW w:w="0" w:type="dxa"/>
            <w:vAlign w:val="bottom"/>
          </w:tcPr>
          <w:p>
            <w:pPr>
              <w:spacing w:after="0"/>
              <w:rPr>
                <w:sz w:val="1"/>
                <w:szCs w:val="1"/>
                <w:color w:val="auto"/>
              </w:rPr>
            </w:pP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Know-how</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12,078</w:t>
            </w:r>
          </w:p>
        </w:tc>
        <w:tc>
          <w:tcPr>
            <w:tcW w:w="1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8.5 - 10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Non-compete agreements</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16,400</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13,716</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Company recorded amortization expense of $0.5 million and $0.5 million for the three months ended March 31, 2021 and 2020, respectively. Amortization relating to developed technology is recorded within research and development expenses, amortization of customer relationships is recorded within selling, general, and administrative expenses, amortization of trade names is recorded within selling, general and administrative expenses, amortization of non-compete agreements is recorded within selling, general, and administrative expenses, and amortization of know-how is recorded within cost of product revenue.</w:t>
      </w:r>
    </w:p>
    <w:p>
      <w:pPr>
        <w:spacing w:after="0" w:line="165" w:lineRule="exact"/>
        <w:rPr>
          <w:sz w:val="20"/>
          <w:szCs w:val="20"/>
          <w:color w:val="auto"/>
        </w:rPr>
      </w:pPr>
    </w:p>
    <w:p>
      <w:pPr>
        <w:ind w:left="60" w:right="679" w:firstLine="648"/>
        <w:spacing w:after="0" w:line="277" w:lineRule="auto"/>
        <w:rPr>
          <w:sz w:val="20"/>
          <w:szCs w:val="20"/>
          <w:color w:val="auto"/>
        </w:rPr>
      </w:pPr>
      <w:r>
        <w:rPr>
          <w:rFonts w:ascii="Arial" w:cs="Arial" w:eastAsia="Arial" w:hAnsi="Arial"/>
          <w:sz w:val="18"/>
          <w:szCs w:val="18"/>
          <w:color w:val="auto"/>
        </w:rPr>
        <w:t>Future estimated amortization expense of acquired intangible assets as of March 31, 2021 is as follows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Estimated Amortization Expense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year (2021)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r>
      <w:tr>
        <w:trPr>
          <w:trHeight w:val="209"/>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12,464</w:t>
            </w: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Company entered into the License Agreement for certain intellectual property with Tufts (see Note 11). Tufts is a related party to the Company due to Tufts’ equity ownership in the Company and because a member of the Company’s Board of Directors was affiliated with Tufts. During the three months ended March 31, 2021 and 2020, the Company recorded royalty expense of $0.5 million and $0.2 million, respectively, in cost of product revenue on the consolidated statements of operations.</w:t>
      </w:r>
    </w:p>
    <w:p>
      <w:pPr>
        <w:spacing w:after="0" w:line="188" w:lineRule="exact"/>
        <w:rPr>
          <w:sz w:val="20"/>
          <w:szCs w:val="20"/>
          <w:color w:val="auto"/>
        </w:rPr>
      </w:pPr>
    </w:p>
    <w:p>
      <w:pPr>
        <w:jc w:val="both"/>
        <w:ind w:left="60" w:right="279" w:firstLine="648"/>
        <w:spacing w:after="0" w:line="286" w:lineRule="auto"/>
        <w:rPr>
          <w:sz w:val="20"/>
          <w:szCs w:val="20"/>
          <w:color w:val="auto"/>
        </w:rPr>
      </w:pPr>
      <w:r>
        <w:rPr>
          <w:rFonts w:ascii="Arial" w:cs="Arial" w:eastAsia="Arial" w:hAnsi="Arial"/>
          <w:sz w:val="17"/>
          <w:szCs w:val="17"/>
          <w:color w:val="auto"/>
        </w:rPr>
        <w:t>During the year ended December 31, 2017, Harvard University became a related party because a member of the Company’s Board of Directors is affiliated with Harvard University. Revenue recorded from sales to Harvard University was less than $0.1 million during both the three months ended March 31, 2021 and 2020.</w:t>
      </w:r>
    </w:p>
    <w:p>
      <w:pPr>
        <w:spacing w:after="0" w:line="3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Accumulated other comprehensive income (loss)</w:t>
      </w:r>
    </w:p>
    <w:p>
      <w:pPr>
        <w:spacing w:after="0" w:line="18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The following shows the changes in the components of accumulated other comprehensive income (loss) for the three months ended March 31, 2021 and 2020 which consisted of only foreign currency translation adjustments for the periods shown (in thousands):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8"/>
                <w:szCs w:val="18"/>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Other</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8"/>
                <w:szCs w:val="18"/>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7"/>
                <w:szCs w:val="17"/>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Current period accumulated other comprehensive loss</w:t>
            </w:r>
          </w:p>
        </w:tc>
        <w:tc>
          <w:tcPr>
            <w:tcW w:w="10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(1,251)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(1,251)</w:t>
            </w: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28"/>
        </w:trPr>
        <w:tc>
          <w:tcPr>
            <w:tcW w:w="5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Cumulative</w:t>
            </w:r>
          </w:p>
        </w:tc>
        <w:tc>
          <w:tcPr>
            <w:tcW w:w="140" w:type="dxa"/>
            <w:vAlign w:val="bottom"/>
          </w:tcPr>
          <w:p>
            <w:pPr>
              <w:spacing w:after="0"/>
              <w:rPr>
                <w:sz w:val="18"/>
                <w:szCs w:val="18"/>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Other</w:t>
            </w:r>
          </w:p>
        </w:tc>
      </w:tr>
      <w:tr>
        <w:trPr>
          <w:trHeight w:val="216"/>
        </w:trPr>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8"/>
                <w:szCs w:val="18"/>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r>
      <w:tr>
        <w:trPr>
          <w:trHeight w:val="201"/>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7"/>
                <w:szCs w:val="17"/>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85"/>
              </w:rPr>
              <w:t>Loss</w:t>
            </w: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Current period accumulated other comprehensive loss</w:t>
            </w:r>
          </w:p>
        </w:tc>
        <w:tc>
          <w:tcPr>
            <w:tcW w:w="10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(1,047)</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 March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0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had no significant subsequent events for the period March 31, 2021 through the filing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2020,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2020 as may be updated by “Part II, Item 1A, Risk Factors” of our subsequently filed Quarterly Reports on Form 10-Q.</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We are a life sciences company that has developed next generation, ultra-sensitive digital immunoassay platforms that advance precision health for life sciences research and diagnostics. Our platforms are based on our proprietary digital “Simoa” detection technology. Our Simoa bead-based and planar array platforms enable customers to reliably detect protein biomarkers in extremely low concentrations in blood, serum and other fluids that, in many cases, are undetectable using conventional, analog immunoassay technologies, and also allow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on protein detection, which we believe is an area of significant unmet need and where we have significant competitive advantages. However, in addition to enabling new applications and insights in protein analysis, our Simoa platforms have also demonstrated applicability across other testing applications, including detection of nucleic acids and small molecules.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currently sell most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Brazil, China, Czech Republic, India, Israel, Japan, Lebanon, Mexico, Qatar, Saudi Arabia, Singapore, South Korea, and Taiwan.</w:t>
      </w:r>
    </w:p>
    <w:p>
      <w:pPr>
        <w:spacing w:after="0" w:line="188"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6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commercially launched our first immunoassay platform, the Simoa HD-1, in January 2014. The HD-1 is based on our bead-based technology, and assays run on the HD-1 are fully automated. We initiated commercial launch of the SR-X instrument in December 2017. The SR-X utilizes the same Simoa bead-based technology and assay kits as the HD-1 in a compact benchtop form with a lower price point, more flexible assay preparation, and a wider range of applications. In July 2019, we launched the Simoa HD-X, an upgraded version of the Simoa HD-1, which replaces the HD-1. The HD-X has been designed to deliver significant productivity and operational efficiency improvements, as well as greater user flexibility. We began shipping and installing HD-X instruments at customer locations in the third quarter of 2019. As the installed base of the Simoa instruments increases, total consumables revenue overall is expected to</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increase. We believe that consumables revenue should be subject to less period-to-period fluctuation than our instrument sales revenue, and will become an increasingly important contributor to our overall revenue.</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On January 30, 2018, we acquired Aushon Biosystems, Inc. (Aushon) for $3.2 million in cash, with an additional payment of $0.8 million made in July 2018, six months after the acquisition date. With the acquisition of Aushon, we acquired a CLIA certified laboratory, as well as Aushon’s proprietary sensitive planar array detection technology. Leveraging our proprietary sophisticated Simoa image analysis and data analysis algorithms, we further refined this planar array technology to develop the SP-X instrument to provide the same Simoa sensitivity found in our Simoa bead-based platform. We initiated an early-access program for the SP-X instrument in January 2019, with the full commercial launch commenced in April 2019.</w:t>
      </w:r>
    </w:p>
    <w:p>
      <w:pPr>
        <w:spacing w:after="0" w:line="19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August 1, 2019, we completed our acquisition of UmanDiagnostics AB (Uman) for an aggregate purchase price of $21.2 million, comprised of (i) $15.7 million in cash plus (ii) 191,152 shares of our common stock (representing $5.5 million based on the closing prices of our common stock on the Nasdaq Global Market on July 1, 2019 and August 1, 2019, the dates of issuance). The acquisition closed with respect to 95% of the outstanding shares of capital stock of Uman on July 1, 2019 and with respect to the remaining 5% of the outstanding shares of capital stock of Uman on August 1, 2019. Uman supplies neurofilament light (Nf-L) antibodies and ELISA kits, which are widely recognized by researchers and biopharmaceutical and diagnostics companies world-wide as the premier solution for the detection of Nf-L to advance the development of therapeutics and diagnostics for neurodegenerative conditions.</w:t>
      </w:r>
    </w:p>
    <w:p>
      <w:pPr>
        <w:spacing w:after="0" w:line="16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 xml:space="preserve">On September 29, 2020, we entered into a Non-exclusive License Agreement (the Abbott License Agreement) with Abbott Laboratories (Abbott). Pursuant to the terms of the Abbott License Agreement, we granted Abbott a non-exclusive, worldwide, royalty-bearing license, without the right to sublicense, under our bead-based single molecule detection patents in the field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diagnostics. Abbott has paid us an initial license fee of $10.0 million in connection with the execution of the Abbott License Agreement, which was recognized as collaboration and license revenue for the three months ended September 30, 2020. In addition, during the three months ended September 30, 2020, we recognized as collaboration and license revenue approximately $1.2 million of previously deferred revenue upon entering into the Abbott License Agreement. Abbott has also agreed to pay us milestone fees subject to the achievement by Abbott of certain development, regulatory and commercialization milestones and low single digit royalties on net sales of licensed products.</w:t>
      </w:r>
    </w:p>
    <w:p>
      <w:pPr>
        <w:spacing w:after="0" w:line="166"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We are subject to ongoing uncertainty concerning the SARS-COV-2 (COVID-19) pandemic, including its length and severity and its effect on our business. During the first and second quarters of 2020, we implemented a resiliency plan focused on the health and safety of our employees and maintaining continuity of our operations. We have seen an impact on instrument revenue due to limitations on our ability to access certain customer sites and complete instrument installations, as well as an impact on consumables revenue from interruptions in certain customer laboratories. We expect these COVID-19 related challenges to continue until these customers return to normal operations.</w:t>
      </w:r>
    </w:p>
    <w:p>
      <w:pPr>
        <w:spacing w:after="0" w:line="25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view of the pandemic, we have adjusted our operations to expand capacity in our Accelerator Laboratory to support customers whose operations have been disrupted and to sustain clinical trials. We also determined that our cytokine assay technology provides researchers with important and differentiated tools to study disease progression, cytokine release syndrome, and patient-treatment response in the fight against COVID-19, and began developing a SARS- CoV-2 semi-quantitative IgG assay and a SARS-CoV-2 antigen detection assay, and prototyping a high-definition multiplex SARS-CoV-2 serology assay. In December 2020, the Food and Drug Administration (FDA) issued an Emergency Use Authorization (EUA) for our Simoa Semi-Quantitative SARS-CoV-2 IgG Antibody Test, and in January 2021, the FDA issued an EUA for our Simoa SARS-CoV-2 N Protein Antigen Test, each of which is run on our HD-X instrument. We currently intend to pursue authorization for additional sample types, including nasal swabs, saliva, and capillary dried blood obtained from a fingerstick. Preliminary clinical research studies suggest the viral antigen may be readily detectable in asymptomatic and pre-symptomatic patients, and we are exploring extending the test to screening applications, home-based sample collection and pooling to enable larger scale testing.</w:t>
      </w:r>
    </w:p>
    <w:p>
      <w:pPr>
        <w:spacing w:after="0" w:line="179"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In September 2020, we entered into a workplan 2 award (WP2) with the National Institute of Health (NIH) under the Rapid Acceleration of Diagnostics (RADx) program. This contract, which has a total award value of $18.2</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million, is intended to accelerate the continued development, scale-up and deployment of our novel SARS-CoV-2 antigen test. Initial early feasibility of this test was funded in part through the workplan 1 award (WP1) we were granted in June 2020. WP2 supports clinical validation of the test in support of the EUA submissions with the FDA and provides funding to expand assay kit manufacturing capacity and commercial deployment readiness. Contract funding is subject to achievement of pre-defined milestones and the contract period runs through September 2021.</w:t>
      </w:r>
    </w:p>
    <w:p>
      <w:pPr>
        <w:spacing w:after="0" w:line="17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The COVID-19 situation remains dynamic and there remains significant uncertainty as to the length and severity of the pandemic, the actions that may be taken by government authorities, the impact to the business of our customers and suppliers, the long-term economic implications and other factors identified in “Part I, Item 1A, Risk Factors” of our Annual Report on Form 10-K for the year ended December 31, 2020 as may be updated by “Part II, Item 1A, Risk Factors” of our subsequently filed Quarterly Reports on Form 10-Q. We will continue to evaluate the nature and extent of the impact to our business, financial condition, and operating results.</w:t>
      </w:r>
    </w:p>
    <w:p>
      <w:pPr>
        <w:spacing w:after="0" w:line="178"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As of March 31, 2021, we had cash and cash equivalents of $442.7 million. Other than the third quarter of 2020, since inception, we have incurred net losses. Our net loss was $31.5 million, $40.8 million, and $31.5 million for the years ended December 31, 2020, 2019 and 2018, respectively, and $10.1 million and $11.6 million for the three months ended March 31, 2021 and 2020, respectively. As of March 31, 2021, we had an accumulated deficit of $257.9 million and stockholders' equity of $471.5 million. We expect to continue to incur significant expenses and operating losses at least through the next 24 months. We expect our expenses will increase substantially as we:</w:t>
      </w:r>
    </w:p>
    <w:p>
      <w:pPr>
        <w:spacing w:after="0" w:line="218" w:lineRule="exact"/>
        <w:rPr>
          <w:sz w:val="20"/>
          <w:szCs w:val="20"/>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strategically acquire companies or technologies that may be complementary to our business;</w:t>
      </w:r>
    </w:p>
    <w:p>
      <w:pPr>
        <w:spacing w:after="0" w:line="9" w:lineRule="exact"/>
        <w:rPr>
          <w:rFonts w:ascii="Arial" w:cs="Arial" w:eastAsia="Arial" w:hAnsi="Arial"/>
          <w:sz w:val="18"/>
          <w:szCs w:val="18"/>
          <w:color w:val="auto"/>
        </w:rPr>
      </w:pPr>
    </w:p>
    <w:p>
      <w:pPr>
        <w:ind w:left="1380" w:right="99" w:hanging="655"/>
        <w:spacing w:after="0" w:line="281" w:lineRule="auto"/>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expand our research and development efforts to improve our existing products and develop and launch new products, particularly if any of our products are deemed by the United States Food and Drug Administration, or FDA, to be medical devices or otherwise subject to additional regulation by the FDA;</w:t>
      </w:r>
    </w:p>
    <w:p>
      <w:pPr>
        <w:spacing w:after="0" w:line="1" w:lineRule="exact"/>
        <w:rPr>
          <w:rFonts w:ascii="Arial" w:cs="Arial" w:eastAsia="Arial" w:hAnsi="Arial"/>
          <w:sz w:val="16"/>
          <w:szCs w:val="16"/>
          <w:color w:val="auto"/>
        </w:rPr>
      </w:pPr>
    </w:p>
    <w:p>
      <w:pPr>
        <w:jc w:val="both"/>
        <w:ind w:left="1380" w:right="27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premarket approval, or PMA, or 510(k) clearance, or emergency use authorization, or EUA, from the FDA for our existing products or new products if or when we decide to market products for use in the prevention, diagnosis or treatment of a disease or other condition;</w:t>
      </w:r>
    </w:p>
    <w:p>
      <w:pPr>
        <w:spacing w:after="0" w:line="1"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personnel and continue to grow our employee headcount;</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9" w:lineRule="exact"/>
        <w:rPr>
          <w:rFonts w:ascii="Arial" w:cs="Arial" w:eastAsia="Arial" w:hAnsi="Arial"/>
          <w:sz w:val="18"/>
          <w:szCs w:val="18"/>
          <w:color w:val="auto"/>
        </w:rPr>
      </w:pPr>
    </w:p>
    <w:p>
      <w:pPr>
        <w:ind w:left="1380" w:right="179" w:hanging="655"/>
        <w:spacing w:after="0" w:line="250"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assay kit manufacturing capacity and commercial development readiness in connection with the RADx WP2 contract;</w:t>
      </w:r>
    </w:p>
    <w:p>
      <w:pPr>
        <w:ind w:left="1380" w:hanging="655"/>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9" w:lineRule="exact"/>
        <w:rPr>
          <w:rFonts w:ascii="Arial" w:cs="Arial" w:eastAsia="Arial" w:hAnsi="Arial"/>
          <w:sz w:val="18"/>
          <w:szCs w:val="18"/>
          <w:color w:val="auto"/>
        </w:rPr>
      </w:pPr>
    </w:p>
    <w:p>
      <w:pPr>
        <w:ind w:left="1420" w:hanging="695"/>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incur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March 31, 2020 (dollars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 of</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March 31,</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March 31,</w:t>
            </w: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right"/>
              <w:ind w:right="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Service and other revenue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Collaboration and license revenue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11,482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 revenue</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182"/>
        </w:trPr>
        <w:tc>
          <w:tcPr>
            <w:tcW w:w="2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Total costs of goods sold and</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16,349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6,813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9,536</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4,268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2,415</w:t>
            </w:r>
          </w:p>
        </w:tc>
        <w:tc>
          <w:tcPr>
            <w:tcW w:w="1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2"/>
        </w:trPr>
        <w:tc>
          <w:tcPr>
            <w:tcW w:w="2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1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4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w:t>
            </w:r>
          </w:p>
        </w:tc>
        <w:tc>
          <w:tcPr>
            <w:tcW w:w="1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9"/>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26,138</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18,541</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7,597</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line="216" w:lineRule="exact"/>
              <w:rPr>
                <w:sz w:val="20"/>
                <w:szCs w:val="20"/>
                <w:color w:val="auto"/>
              </w:rPr>
            </w:pPr>
            <w:r>
              <w:rPr>
                <w:rFonts w:ascii="Arial" w:cs="Arial" w:eastAsia="Arial" w:hAnsi="Arial"/>
                <w:sz w:val="16"/>
                <w:szCs w:val="16"/>
                <w:color w:val="auto"/>
              </w:rPr>
              <w:t xml:space="preserve">1 % </w:t>
            </w:r>
            <w:r>
              <w:rPr>
                <w:rFonts w:ascii="Arial" w:cs="Arial" w:eastAsia="Arial" w:hAnsi="Arial"/>
                <w:sz w:val="25"/>
                <w:szCs w:val="25"/>
                <w:color w:val="auto"/>
                <w:vertAlign w:val="subscript"/>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(11,734)</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2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159" w:firstLine="648"/>
        <w:spacing w:after="0" w:line="287" w:lineRule="auto"/>
        <w:rPr>
          <w:sz w:val="20"/>
          <w:szCs w:val="20"/>
          <w:color w:val="auto"/>
        </w:rPr>
      </w:pPr>
      <w:r>
        <w:rPr>
          <w:rFonts w:ascii="Arial" w:cs="Arial" w:eastAsia="Arial" w:hAnsi="Arial"/>
          <w:sz w:val="16"/>
          <w:szCs w:val="16"/>
          <w:color w:val="auto"/>
        </w:rPr>
        <w:t>Total revenue increased by $11.5 million, or 73%, to $27.2 million for the three months ended March 31, 2021 as compared to $15.7 million for the three months ended March 31, 2020. Product revenue consisted of sales of instruments totaling $7.0 million and sales of consumables and other products of $11.3 million for the three months ended</w:t>
      </w:r>
    </w:p>
    <w:p>
      <w:pPr>
        <w:spacing w:after="0" w:line="2"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March 31, 2021. Product revenue consisted of sales of instruments totaling $3.7 million and sales of consumables and other products totaling $6.1 million for the three months ended March 31, 2020. The increase in product revenue of $8.4 million was primarily due to increased instrument demand during the three months ended March 31, 2021. In addition, as the installed base of instruments increased from March 31, 2020 to March 31, 2021, the consumable sales increased as customers opened from their COVID-19 related shutdowns. The increase in service and other revenue of $0.6 million was primarily due to our increase in service-type warranties and other services related to the increase in installed base of instruments. We had $0.3 million and $0.1 million in collaboration and license revenue during the three months ended March 31, 2021 and 2020, respectively, related to licensing technology and intellectual property. Grant revenue of $2.3 million consisted of revenue related to WP2 recognized during the three months ended March 31, 2021. We did not have any grant revenue during the three months ended March 31, 2020.</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 and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product revenue increased by $1.3 million, or 21%, to $7.5 million for the three months ended</w:t>
      </w:r>
    </w:p>
    <w:p>
      <w:pPr>
        <w:spacing w:after="0" w:line="23" w:lineRule="exact"/>
        <w:rPr>
          <w:sz w:val="20"/>
          <w:szCs w:val="20"/>
          <w:color w:val="auto"/>
        </w:rPr>
      </w:pPr>
    </w:p>
    <w:p>
      <w:pPr>
        <w:ind w:left="60" w:right="79"/>
        <w:spacing w:after="0" w:line="265" w:lineRule="auto"/>
        <w:rPr>
          <w:sz w:val="20"/>
          <w:szCs w:val="20"/>
          <w:color w:val="auto"/>
        </w:rPr>
      </w:pPr>
      <w:r>
        <w:rPr>
          <w:rFonts w:ascii="Arial" w:cs="Arial" w:eastAsia="Arial" w:hAnsi="Arial"/>
          <w:sz w:val="17"/>
          <w:szCs w:val="17"/>
          <w:color w:val="auto"/>
        </w:rPr>
        <w:t>March 31, 2021 as compared to $6.2 million for the three months ended March 31, 2020. The increase was primarily due to our increase in product revenue. Cost of service revenue increased to $3.4 million for the three months ended</w:t>
      </w:r>
    </w:p>
    <w:p>
      <w:pPr>
        <w:ind w:left="60" w:right="79"/>
        <w:spacing w:after="0" w:line="323" w:lineRule="auto"/>
        <w:rPr>
          <w:sz w:val="20"/>
          <w:szCs w:val="20"/>
          <w:color w:val="auto"/>
        </w:rPr>
      </w:pPr>
      <w:r>
        <w:rPr>
          <w:rFonts w:ascii="Arial" w:cs="Arial" w:eastAsia="Arial" w:hAnsi="Arial"/>
          <w:sz w:val="16"/>
          <w:szCs w:val="16"/>
          <w:color w:val="auto"/>
        </w:rPr>
        <w:t>March 31, 2021 from $2.7 million for the three months ended March 31, 2020. The increase was primarily due to increased personnel costs from the build out of our field service organization. Overall cost of goods sold as a percentage</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of revenue decreased to 40% of total revenue for the three months ended March 31, 2021 as compared to 57% for the three months ended March 31, 2020, primarily as a result of the significant increase in grant revenue, increased manufacturing efficiencies, and an increase in average selling prices of our instruments.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Research and development expense increased by $2.4 million, or 57%, to $6.7 million for the three months ended March 31, 2021 as compared to $4.3 million for the three months ended March 31, 2020. The increase was primarily due to compensation, development, materials, and other expenses related to work under WP2 incurred during the three months ended March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Selling, general and administrative expense increased by $5.2 million for the three months ended March 31, 2021 as compared to the same period in 2020. The increase was primarily due to headcount additions in various departments as we build out our organization to support growth.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Income, Net and Other Expense, Net</w:t>
      </w:r>
    </w:p>
    <w:p>
      <w:pPr>
        <w:spacing w:after="0" w:line="22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Interest (expense) income, net and other expense, net was an expense of $0.2 million for the three months ended March 31, 2021, as compared to income of $0.2 million for the three months ended March 31, 2020, primarily due to decreased interest income earned on cash equivalents, as COVID-19 unfavorably impacted interest rates on our cash equivalents during the three months ended March 31,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Income tax benefit decreased by $0.1 million for the three months ended March 31, 2021 as compared to the same period in 2020. The change is primarily due to the decrease in the tax benefit recorded on the operating results of our foreign subsidiaries.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ind w:left="60" w:right="279" w:firstLine="693"/>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Offerings</w:t>
      </w:r>
    </w:p>
    <w:p>
      <w:pPr>
        <w:spacing w:after="0" w:line="252"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On August 6, 2020, we entered into an underwriting agreement Leerink and Cowen, as representatives of the several underwriters, relating to an underwritten public offering of approximately 3.0 million shares of common stock, par value $0.001 per share. The underwritten public offering resulted in gross proceeds of $97.6 million. We incurred $6.2 million in issuance costs associated with the underwritten public offering, resulting in net proceeds of $91.4 million.</w:t>
      </w:r>
    </w:p>
    <w:p>
      <w:pPr>
        <w:spacing w:after="0" w:line="157"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On February 3, 2021, we entered into an underwriting agreement with Goldman Sachs &amp; Co. LLC, Leerink, and Cowen, as representatives of the several underwriters, relating to an underwritten public offering of 4,107,142 shares of common stock at a public offering price of $70.00 per share. We received $287.5 million in gross proceeds and approximately $269.7 million in net proceeds.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Loan Facility with Hercules</w:t>
      </w:r>
    </w:p>
    <w:p>
      <w:pPr>
        <w:spacing w:after="0" w:line="266"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On April 14, 2014, we executed a loan agreement with Hercules Capital, Inc. (Hercules), as subsequently amended most recently in April 2019. As of March 31, 2021 and December 31, 2020, our outstanding long term debt balance was $7.7 million. The interest rate on this term loan was variable based on a calculation of 8% plus the prime rate less 5.25%, with a minimum interest rate of 8%. Interest was to be paid monthly beginning the month following the</w:t>
      </w:r>
    </w:p>
    <w:p>
      <w:pPr>
        <w:sectPr>
          <w:pgSz w:w="11900" w:h="16838" w:orient="portrait"/>
          <w:cols w:equalWidth="0" w:num="1">
            <w:col w:w="9019"/>
          </w:cols>
          <w:pgMar w:left="1440" w:top="517" w:right="1440"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borrowing date. Under the amended agreement, we are required to pay the loan principal in four equal installments starting July 1, 2021, with the final principal payment and end of term charge to be made on October 1, 2021.</w:t>
      </w:r>
    </w:p>
    <w:p>
      <w:pPr>
        <w:spacing w:after="0" w:line="18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Debt principal repayments, including the end of term fees, due as of March 31, 2021 are (in thousands):</w:t>
      </w:r>
    </w:p>
    <w:p>
      <w:pPr>
        <w:spacing w:after="0" w:line="200" w:lineRule="exact"/>
        <w:rPr>
          <w:sz w:val="20"/>
          <w:szCs w:val="20"/>
          <w:color w:val="auto"/>
        </w:rPr>
      </w:pPr>
    </w:p>
    <w:p>
      <w:pPr>
        <w:spacing w:after="0" w:line="213" w:lineRule="exact"/>
        <w:rPr>
          <w:sz w:val="20"/>
          <w:szCs w:val="20"/>
          <w:color w:val="auto"/>
        </w:rPr>
      </w:pPr>
    </w:p>
    <w:tbl>
      <w:tblPr>
        <w:tblLayout w:type="fixed"/>
        <w:tblInd w:w="1520" w:type="dxa"/>
        <w:tblCellMar>
          <w:top w:w="0" w:type="dxa"/>
          <w:left w:w="0" w:type="dxa"/>
          <w:bottom w:w="0" w:type="dxa"/>
          <w:right w:w="0" w:type="dxa"/>
        </w:tblCellMar>
      </w:tblPr>
      <w:tr>
        <w:trPr>
          <w:trHeight w:val="20"/>
        </w:trPr>
        <w:tc>
          <w:tcPr>
            <w:tcW w:w="5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09"/>
        </w:trPr>
        <w:tc>
          <w:tcPr>
            <w:tcW w:w="5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December 31, 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r>
      <w:tr>
        <w:trPr>
          <w:trHeight w:val="209"/>
        </w:trPr>
        <w:tc>
          <w:tcPr>
            <w:tcW w:w="5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7,738</w:t>
            </w: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30"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100" w:type="dxa"/>
            <w:vAlign w:val="bottom"/>
            <w:gridSpan w:val="7"/>
          </w:tcPr>
          <w:p>
            <w:pPr>
              <w:ind w:left="12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3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8"/>
              </w:rPr>
              <w:t>Net cash provided by (used in) investing activities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w w:val="90"/>
              </w:rPr>
              <w:t>Net increase (decrease) in cash and cash equivalents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261,659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(12,744)</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Net cash used in operating activities was $14.1 million during the three months ended March 31, 2021. The net cash used in operating activities primarily consisted of the net loss of $10.1 million offset by non-cash charges of $3.4 million of stock-based compensation expense and $1.2 million of depreciation and amortization expense. Cash used as a result of changes in operating assets and liabilities of $8.9 million was primarily due to a decrease in accrued compensation and benefits, other accrued expenses and other current liabilities of $5.6 million, and an increase in inventory of $2.3 million.</w:t>
      </w:r>
    </w:p>
    <w:p>
      <w:pPr>
        <w:spacing w:after="0" w:line="192"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Net cash used in operating activities was $13.2 million during the three months ended March 31, 2020. The net cash used in operating activities primarily consisted of the net loss of $11.6 million offset by non-cash charges of $2.1 million of stock-based compensation expense and $1.0 million of depreciation and amortization expense. Cash used as a result of changes in operating assets and liabilities of $5.3 million was primarily due to an increase in accounts receivable of $1.2 million, an increase in inventory of $1.4 million, an increase in accounts payable of $1.1 million, and an increase in accrued compensation and benefits, other accrued expenses and other current liabilities of $1.7 million.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left="60" w:right="439" w:firstLine="648"/>
        <w:spacing w:after="0" w:line="263" w:lineRule="auto"/>
        <w:rPr>
          <w:sz w:val="20"/>
          <w:szCs w:val="20"/>
          <w:color w:val="auto"/>
        </w:rPr>
      </w:pPr>
      <w:r>
        <w:rPr>
          <w:rFonts w:ascii="Arial" w:cs="Arial" w:eastAsia="Arial" w:hAnsi="Arial"/>
          <w:sz w:val="18"/>
          <w:szCs w:val="18"/>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84"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Investing activities provided $2.4 million of cash during the three months ended March 31, 2021 primarily related to $2.5 million in grant proceeds related to WP2.</w:t>
      </w:r>
    </w:p>
    <w:p>
      <w:pPr>
        <w:spacing w:after="0" w:line="170"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We used $0.4 million of cash in investing activities during the three months ended March 31, 2020 for the purchase of property and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stock, borrowings from credit facilities, and revenues from our commercial operations.</w:t>
      </w:r>
    </w:p>
    <w:p>
      <w:pPr>
        <w:spacing w:after="0" w:line="170"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Financing activities provided $273.3 million of cash during the three months ended March 31, 2021, primarily from $269.7 million in net proceeds from our underwritten public offering during the first quarter of 2021, and $3.1 million in proceeds from common stock option exercises.</w:t>
      </w:r>
    </w:p>
    <w:p>
      <w:pPr>
        <w:spacing w:after="0" w:line="184" w:lineRule="exact"/>
        <w:rPr>
          <w:sz w:val="20"/>
          <w:szCs w:val="20"/>
          <w:color w:val="auto"/>
        </w:rPr>
      </w:pPr>
    </w:p>
    <w:p>
      <w:pPr>
        <w:jc w:val="both"/>
        <w:ind w:left="60" w:right="139" w:firstLine="648"/>
        <w:spacing w:after="0" w:line="263" w:lineRule="auto"/>
        <w:rPr>
          <w:sz w:val="20"/>
          <w:szCs w:val="20"/>
          <w:color w:val="auto"/>
        </w:rPr>
      </w:pPr>
      <w:r>
        <w:rPr>
          <w:rFonts w:ascii="Arial" w:cs="Arial" w:eastAsia="Arial" w:hAnsi="Arial"/>
          <w:sz w:val="18"/>
          <w:szCs w:val="18"/>
          <w:color w:val="auto"/>
        </w:rPr>
        <w:t>Financing activities provided $0.9 million of cash during the three months ended March 31, 2020, primarily from $0.5 million in proceeds from stock options exercised and $0.4 million in proceeds from stock purchases through our 2017 ESPP.</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66"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Other than the third quarter of 2020, since inception, we have incurred net losses, and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 expect that they will continue to consist, of sales and marketing expenses, research and development expenses, working capital, debt service and general corporate expenses.</w:t>
      </w:r>
    </w:p>
    <w:p>
      <w:pPr>
        <w:spacing w:after="0" w:line="218"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believe cash generated from commercial sales, our current cash and cash equivalents, and interest income we earn on these balances will be sufficient to meet our anticipated operating cash requirements for at least the next 12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Annual Report on Form 10-K for the year ended December 31, 2020. We have based our estimates on assumptions that may prove to be wrong and we could utilize our available capital resources sooner than we currently expect. Our future funding requirements will depend on many factors, including:</w:t>
      </w:r>
    </w:p>
    <w:p>
      <w:pPr>
        <w:spacing w:after="0" w:line="195" w:lineRule="exact"/>
        <w:rPr>
          <w:sz w:val="20"/>
          <w:szCs w:val="20"/>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including our SP-X and HD-X instruments;</w:t>
      </w:r>
    </w:p>
    <w:p>
      <w:pPr>
        <w:spacing w:after="0" w:line="23"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enter into collaborations in the future, and the success of any such collaborations;</w:t>
      </w:r>
    </w:p>
    <w:p>
      <w:pPr>
        <w:spacing w:after="0" w:line="9" w:lineRule="exact"/>
        <w:rPr>
          <w:rFonts w:ascii="Arial" w:cs="Arial" w:eastAsia="Arial" w:hAnsi="Arial"/>
          <w:sz w:val="18"/>
          <w:szCs w:val="18"/>
          <w:color w:val="auto"/>
        </w:rPr>
      </w:pPr>
    </w:p>
    <w:p>
      <w:pPr>
        <w:ind w:left="1380" w:right="179" w:hanging="655"/>
        <w:spacing w:after="0" w:line="250"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w:t>
      </w: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the COVID-19 pandemic; and</w:t>
      </w:r>
    </w:p>
    <w:p>
      <w:pPr>
        <w:spacing w:after="0" w:line="9" w:lineRule="exact"/>
        <w:rPr>
          <w:rFonts w:ascii="Arial" w:cs="Arial" w:eastAsia="Arial" w:hAnsi="Arial"/>
          <w:sz w:val="18"/>
          <w:szCs w:val="18"/>
          <w:color w:val="auto"/>
        </w:rPr>
      </w:pPr>
    </w:p>
    <w:p>
      <w:pPr>
        <w:ind w:left="1380" w:hanging="655"/>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If the conditions for raising capital are favorable, we may seek to finance future cash needs through public or private equity or debt offerings or other financings. On November 6, 2020, we filed an automatically effective shelf registration statement with the SEC. Each issuance of securities under the shelf registration statement will require the filing of a prospectus supplement identifying the amount and terms of securities to be issued. The registration statement does not limit the amount of securities that may be issued thereunder. Our ability to issue securities is subject to market conditions and other factors. This registration statement will expire on November 6, 2023, three years after its date of effectiveness. However, 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As of March 31, 2021, there have been no material changes to our contractual obligations and commitments from those described under “Management’s Discussion and Analysis of Financial Condition and Results of Operations” included in our Annual Report on Form 10-K for the year ended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Securities and Exchange Commission (SEC) rules.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or U.S. GAAP, requires management to make estimates and assumptions that impact the reported amounts of assets, liabilities, revenues, and expenses and the disclosure of assets and liabilities in our financial statements and accompanying notes. The most significant assumptions used in the financial statements are the underlying assumptions used in revenue recognition, fair value of assets acquired and liabilities assumed in acquisitions, valuation allowances recorded against deferred tax assets, and valuation of inventory. We base estimates and assumptions on historical experience when available and on various factors that we determined to be reasonable under the circumstances. We evaluate our estimates and assumptions on an ongoing basis. Our actual results may differ from these estimates under different assumptions or conditions.</w:t>
      </w:r>
    </w:p>
    <w:p>
      <w:pPr>
        <w:spacing w:after="0" w:line="196"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Our critical accounting policies and significant estimates that involve a higher degree of judgment and complexity are described under “Management’s Discussion and Analysis of Financial Condition and Results of Operations—Critical Accounting Policies, Significant Judgments and Estimates” included in our Annual Report on Form 10-K for the year ended December 31, 2020. There have been no material changes to our critical accounting policies and estimates as disclosed therein, with the exception of our adoption of recent accounting pronouncements, as discussed below.</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 xml:space="preserve">We adopted the Financial Accounting Standards Board (FASB) Accounting Standards Update (ASU) No. 2016-13, </w:t>
      </w:r>
      <w:r>
        <w:rPr>
          <w:rFonts w:ascii="Arial" w:cs="Arial" w:eastAsia="Arial" w:hAnsi="Arial"/>
          <w:sz w:val="18"/>
          <w:szCs w:val="18"/>
          <w:i w:val="1"/>
          <w:iCs w:val="1"/>
          <w:color w:val="auto"/>
        </w:rPr>
        <w:t>Financial Instruments — Credit Losses: Measurement of Credit Losses on Financial Instruments (ASU 2016-13)</w:t>
      </w:r>
      <w:r>
        <w:rPr>
          <w:rFonts w:ascii="Arial" w:cs="Arial" w:eastAsia="Arial" w:hAnsi="Arial"/>
          <w:sz w:val="18"/>
          <w:szCs w:val="18"/>
          <w:color w:val="auto"/>
        </w:rPr>
        <w:t>. See Notes 2 and 7 to our unaudited financial statements included elsewhere in this Quarterly Report on Form 10-Q for more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 xml:space="preserve">We adopted the FASB ASU No. 2018-15, </w:t>
      </w:r>
      <w:r>
        <w:rPr>
          <w:rFonts w:ascii="Arial" w:cs="Arial" w:eastAsia="Arial" w:hAnsi="Arial"/>
          <w:sz w:val="17"/>
          <w:szCs w:val="17"/>
          <w:i w:val="1"/>
          <w:iCs w:val="1"/>
          <w:color w:val="auto"/>
        </w:rPr>
        <w:t>Intangibles - Goodwill and Other - Internal-Use Software (Subtopic</w:t>
      </w:r>
    </w:p>
    <w:p>
      <w:pPr>
        <w:spacing w:after="0" w:line="35" w:lineRule="exact"/>
        <w:rPr>
          <w:sz w:val="20"/>
          <w:szCs w:val="20"/>
          <w:color w:val="auto"/>
        </w:rPr>
      </w:pPr>
    </w:p>
    <w:p>
      <w:pPr>
        <w:jc w:val="both"/>
        <w:ind w:left="60" w:right="179"/>
        <w:spacing w:after="0" w:line="255" w:lineRule="auto"/>
        <w:rPr>
          <w:sz w:val="20"/>
          <w:szCs w:val="20"/>
          <w:color w:val="auto"/>
        </w:rPr>
      </w:pPr>
      <w:r>
        <w:rPr>
          <w:rFonts w:ascii="Arial" w:cs="Arial" w:eastAsia="Arial" w:hAnsi="Arial"/>
          <w:sz w:val="18"/>
          <w:szCs w:val="18"/>
          <w:i w:val="1"/>
          <w:iCs w:val="1"/>
          <w:color w:val="auto"/>
        </w:rPr>
        <w:t>350-40): Customer’s Accounting for Implementation Costs Incurred in a Cloud Computing Arrangement That Is a Service Contract (ASU 2018-15)</w:t>
      </w:r>
      <w:r>
        <w:rPr>
          <w:rFonts w:ascii="Arial" w:cs="Arial" w:eastAsia="Arial" w:hAnsi="Arial"/>
          <w:sz w:val="18"/>
          <w:szCs w:val="18"/>
          <w:color w:val="auto"/>
        </w:rPr>
        <w:t>. See Note 2 to our unaudited financial statements included elsewhere in this Quarterly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10-Q for more information.</w:t>
      </w:r>
    </w:p>
    <w:p>
      <w:pPr>
        <w:spacing w:after="0" w:line="190" w:lineRule="exact"/>
        <w:rPr>
          <w:sz w:val="20"/>
          <w:szCs w:val="20"/>
          <w:color w:val="auto"/>
        </w:rPr>
      </w:pPr>
    </w:p>
    <w:p>
      <w:pPr>
        <w:jc w:val="both"/>
        <w:ind w:left="60" w:right="159" w:firstLine="648"/>
        <w:spacing w:after="0" w:line="342" w:lineRule="auto"/>
        <w:rPr>
          <w:sz w:val="20"/>
          <w:szCs w:val="20"/>
          <w:color w:val="auto"/>
        </w:rPr>
      </w:pPr>
      <w:r>
        <w:rPr>
          <w:rFonts w:ascii="Arial" w:cs="Arial" w:eastAsia="Arial" w:hAnsi="Arial"/>
          <w:sz w:val="16"/>
          <w:szCs w:val="16"/>
          <w:color w:val="auto"/>
        </w:rPr>
        <w:t xml:space="preserve">We adopted the FASB ASU No. 2019-12, </w:t>
      </w:r>
      <w:r>
        <w:rPr>
          <w:rFonts w:ascii="Arial" w:cs="Arial" w:eastAsia="Arial" w:hAnsi="Arial"/>
          <w:sz w:val="16"/>
          <w:szCs w:val="16"/>
          <w:i w:val="1"/>
          <w:iCs w:val="1"/>
          <w:color w:val="auto"/>
        </w:rPr>
        <w:t>Simplifying the Accounting for Income Taxes (ASU 2019-12)</w:t>
      </w:r>
      <w:r>
        <w:rPr>
          <w:rFonts w:ascii="Arial" w:cs="Arial" w:eastAsia="Arial" w:hAnsi="Arial"/>
          <w:sz w:val="16"/>
          <w:szCs w:val="16"/>
          <w:color w:val="auto"/>
        </w:rPr>
        <w:t>. See Note 2 to our unaudited financial statements included elsewhere in this Quarterly Report on Form 10-Q for more information.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At March 31, 2021, there have been no material changes to the market risk information described under “Quantitative and Qualitative Disclosures About Market Risk” included in the Annual Report on Form 10-K for the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right="99" w:firstLine="638"/>
        <w:spacing w:after="0" w:line="290" w:lineRule="auto"/>
        <w:tabs>
          <w:tab w:leader="none" w:pos="953"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after evaluating the effectiveness of our disclosure controls and procedures (as defined in Rules 13a-15(e) and 15d-15(e) of the Securities Exchange Act of 1934, as amended, or the Exchange Act) as of the end of the period covered by this Quarterly Report on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5" w:lineRule="exact"/>
        <w:rPr>
          <w:rFonts w:ascii="Arial" w:cs="Arial" w:eastAsia="Arial" w:hAnsi="Arial"/>
          <w:sz w:val="16"/>
          <w:szCs w:val="16"/>
          <w:color w:val="auto"/>
        </w:rPr>
      </w:pPr>
    </w:p>
    <w:p>
      <w:pPr>
        <w:ind w:left="60" w:right="419" w:firstLine="638"/>
        <w:spacing w:after="0" w:line="259" w:lineRule="auto"/>
        <w:tabs>
          <w:tab w:leader="none" w:pos="963"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identified in connection with the evaluation of such internal control that occurred during the three months ended March 31, 2021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2020, filed with the SEC on March 5, 2021.</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On January 20, 2021, 10,000 warrants were exercised by a consultant on a net, non-cash, basis. Per the terms of the warrant agreement, we issued 7,347 shares of common stock. The shares were issued in a private placement exempt from registration under Section 4(a)(2) of the Securities Act of 1933, as amended, or the Securities Act, and Rule 506(b) of Regulation D promulgated thereunder, because the offer and sale of the shares did not involve a “public offering” as defined in Section 4(a)(2) of the Securities Act, and other applicable requirements were met.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651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Incorporated by</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SEC File/</w:t>
            </w:r>
          </w:p>
        </w:tc>
      </w:tr>
      <w:tr>
        <w:trPr>
          <w:trHeight w:val="189"/>
        </w:trPr>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Filed</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Reference herein from</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Reg.</w:t>
            </w:r>
          </w:p>
        </w:tc>
      </w:tr>
      <w:tr>
        <w:trPr>
          <w:trHeight w:val="195"/>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Exhibit Description</w:t>
            </w:r>
          </w:p>
        </w:tc>
        <w:tc>
          <w:tcPr>
            <w:tcW w:w="2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Form or Schedule</w:t>
            </w:r>
          </w:p>
        </w:tc>
        <w:tc>
          <w:tcPr>
            <w:tcW w:w="200" w:type="dxa"/>
            <w:vAlign w:val="bottom"/>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Filing Date</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432"/>
        </w:trPr>
        <w:tc>
          <w:tcPr>
            <w:tcW w:w="680" w:type="dxa"/>
            <w:vAlign w:val="bottom"/>
          </w:tcPr>
          <w:p>
            <w:pPr>
              <w:ind w:left="20"/>
              <w:spacing w:after="0"/>
              <w:rPr>
                <w:sz w:val="20"/>
                <w:szCs w:val="20"/>
                <w:color w:val="auto"/>
              </w:rPr>
            </w:pPr>
            <w:r>
              <w:rPr>
                <w:rFonts w:ascii="Arial" w:cs="Arial" w:eastAsia="Arial" w:hAnsi="Arial"/>
                <w:sz w:val="18"/>
                <w:szCs w:val="18"/>
                <w:color w:val="auto"/>
              </w:rPr>
              <w:t>31.1</w:t>
            </w:r>
          </w:p>
        </w:tc>
        <w:tc>
          <w:tcPr>
            <w:tcW w:w="920" w:type="dxa"/>
            <w:vAlign w:val="bottom"/>
          </w:tcPr>
          <w:p>
            <w:pPr>
              <w:spacing w:after="0"/>
              <w:rPr>
                <w:sz w:val="24"/>
                <w:szCs w:val="24"/>
                <w:color w:val="auto"/>
              </w:rPr>
            </w:pPr>
          </w:p>
        </w:tc>
        <w:tc>
          <w:tcPr>
            <w:tcW w:w="2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9">
              <w:r>
                <w:rPr>
                  <w:rFonts w:ascii="Arial" w:cs="Arial" w:eastAsia="Arial" w:hAnsi="Arial"/>
                  <w:sz w:val="18"/>
                  <w:szCs w:val="18"/>
                  <w:color w:val="0000EE"/>
                  <w:w w:val="93"/>
                </w:rPr>
                <w:t>Certification of the Principal Executive</w:t>
              </w:r>
            </w:hyperlink>
          </w:p>
        </w:tc>
        <w:tc>
          <w:tcPr>
            <w:tcW w:w="220" w:type="dxa"/>
            <w:vAlign w:val="bottom"/>
            <w:gridSpan w:val="2"/>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Officer pursuant to Section 302 of the</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Sarbanes-Oxley Act of 2002.</w:t>
              </w:r>
            </w:hyperlink>
          </w:p>
        </w:tc>
        <w:tc>
          <w:tcPr>
            <w:tcW w:w="3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31.2</w:t>
            </w:r>
          </w:p>
        </w:tc>
        <w:tc>
          <w:tcPr>
            <w:tcW w:w="920" w:type="dxa"/>
            <w:vAlign w:val="bottom"/>
          </w:tcPr>
          <w:p>
            <w:pPr>
              <w:spacing w:after="0"/>
              <w:rPr>
                <w:sz w:val="24"/>
                <w:szCs w:val="24"/>
                <w:color w:val="auto"/>
              </w:rPr>
            </w:pPr>
          </w:p>
        </w:tc>
        <w:tc>
          <w:tcPr>
            <w:tcW w:w="306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 of the Principal Financial</w:t>
              </w:r>
            </w:hyperlink>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80" w:type="dxa"/>
            <w:vAlign w:val="bottom"/>
            <w:tcBorders>
              <w:top w:val="single" w:sz="8" w:color="0000EE"/>
            </w:tcBorders>
            <w:gridSpan w:val="6"/>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Officer pursuant to Section 302 of the</w:t>
              </w:r>
            </w:hyperlink>
          </w:p>
        </w:tc>
        <w:tc>
          <w:tcPr>
            <w:tcW w:w="28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72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Sarbanes-Oxley Act of 2002.</w:t>
              </w:r>
            </w:hyperlink>
          </w:p>
        </w:tc>
        <w:tc>
          <w:tcPr>
            <w:tcW w:w="340" w:type="dxa"/>
            <w:vAlign w:val="bottom"/>
            <w:gridSpan w:val="5"/>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680" w:type="dxa"/>
            <w:vAlign w:val="bottom"/>
          </w:tcPr>
          <w:p>
            <w:pPr>
              <w:ind w:left="20"/>
              <w:spacing w:after="0"/>
              <w:rPr>
                <w:sz w:val="20"/>
                <w:szCs w:val="20"/>
                <w:color w:val="auto"/>
              </w:rPr>
            </w:pPr>
            <w:r>
              <w:rPr>
                <w:rFonts w:ascii="Arial" w:cs="Arial" w:eastAsia="Arial" w:hAnsi="Arial"/>
                <w:sz w:val="18"/>
                <w:szCs w:val="18"/>
                <w:color w:val="auto"/>
              </w:rPr>
              <w:t>32.1</w:t>
            </w:r>
          </w:p>
        </w:tc>
        <w:tc>
          <w:tcPr>
            <w:tcW w:w="920" w:type="dxa"/>
            <w:vAlign w:val="bottom"/>
          </w:tcPr>
          <w:p>
            <w:pPr>
              <w:spacing w:after="0"/>
              <w:rPr>
                <w:sz w:val="24"/>
                <w:szCs w:val="24"/>
                <w:color w:val="auto"/>
              </w:rPr>
            </w:pPr>
          </w:p>
        </w:tc>
        <w:tc>
          <w:tcPr>
            <w:tcW w:w="21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Certifications of the Principal</w:t>
              </w:r>
            </w:hyperlink>
          </w:p>
        </w:tc>
        <w:tc>
          <w:tcPr>
            <w:tcW w:w="920" w:type="dxa"/>
            <w:vAlign w:val="bottom"/>
            <w:gridSpan w:val="7"/>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Executive Officer and Principal</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80" w:type="dxa"/>
            <w:vAlign w:val="bottom"/>
            <w:tcBorders>
              <w:top w:val="single" w:sz="8" w:color="0000EE"/>
            </w:tcBorders>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Officer pursuant to</w:t>
              </w:r>
            </w:hyperlink>
          </w:p>
        </w:tc>
        <w:tc>
          <w:tcPr>
            <w:tcW w:w="780" w:type="dxa"/>
            <w:vAlign w:val="bottom"/>
            <w:gridSpan w:val="6"/>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Section 906 of the Sarbanes-Oxley Act</w:t>
              </w:r>
            </w:hyperlink>
          </w:p>
        </w:tc>
        <w:tc>
          <w:tcPr>
            <w:tcW w:w="240" w:type="dxa"/>
            <w:vAlign w:val="bottom"/>
            <w:gridSpan w:val="3"/>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of 2002.</w:t>
              </w:r>
            </w:hyperlink>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9"/>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507"/>
        </w:trPr>
        <w:tc>
          <w:tcPr>
            <w:tcW w:w="680" w:type="dxa"/>
            <w:vAlign w:val="bottom"/>
          </w:tcPr>
          <w:p>
            <w:pPr>
              <w:ind w:left="20"/>
              <w:spacing w:after="0"/>
              <w:rPr>
                <w:sz w:val="20"/>
                <w:szCs w:val="20"/>
                <w:color w:val="auto"/>
              </w:rPr>
            </w:pPr>
            <w:r>
              <w:rPr>
                <w:rFonts w:ascii="Arial" w:cs="Arial" w:eastAsia="Arial" w:hAnsi="Arial"/>
                <w:sz w:val="18"/>
                <w:szCs w:val="18"/>
                <w:color w:val="auto"/>
              </w:rPr>
              <w:t>101</w:t>
            </w:r>
          </w:p>
        </w:tc>
        <w:tc>
          <w:tcPr>
            <w:tcW w:w="920" w:type="dxa"/>
            <w:vAlign w:val="bottom"/>
          </w:tcPr>
          <w:p>
            <w:pPr>
              <w:ind w:left="200"/>
              <w:spacing w:after="0"/>
              <w:rPr>
                <w:sz w:val="20"/>
                <w:szCs w:val="20"/>
                <w:color w:val="auto"/>
              </w:rPr>
            </w:pPr>
            <w:r>
              <w:rPr>
                <w:rFonts w:ascii="Arial" w:cs="Arial" w:eastAsia="Arial" w:hAnsi="Arial"/>
                <w:sz w:val="18"/>
                <w:szCs w:val="18"/>
                <w:color w:val="auto"/>
              </w:rPr>
              <w:t>.INS</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Instance Document - the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w w:val="99"/>
              </w:rPr>
              <w:t>instance document does not appear in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the Interactive Data File because its</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tags are embedded within the</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Inline XBRL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.SCH</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 Schema</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.CAL</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Calculation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.DEF</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Definition.</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.LAB</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 Label</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PRE</w:t>
            </w:r>
          </w:p>
        </w:tc>
        <w:tc>
          <w:tcPr>
            <w:tcW w:w="3060" w:type="dxa"/>
            <w:vAlign w:val="bottom"/>
            <w:gridSpan w:val="10"/>
          </w:tcPr>
          <w:p>
            <w:pPr>
              <w:spacing w:after="0"/>
              <w:rPr>
                <w:sz w:val="20"/>
                <w:szCs w:val="20"/>
                <w:color w:val="auto"/>
              </w:rPr>
            </w:pPr>
            <w:r>
              <w:rPr>
                <w:rFonts w:ascii="Arial" w:cs="Arial" w:eastAsia="Arial" w:hAnsi="Arial"/>
                <w:sz w:val="18"/>
                <w:szCs w:val="18"/>
                <w:color w:val="auto"/>
              </w:rPr>
              <w:t>XBRL Taxonomy Extension</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Presentation Linkbase Document.</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486"/>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920" w:type="dxa"/>
            <w:vAlign w:val="bottom"/>
          </w:tcPr>
          <w:p>
            <w:pPr>
              <w:spacing w:after="0"/>
              <w:rPr>
                <w:sz w:val="24"/>
                <w:szCs w:val="24"/>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Cover Page Interactive Data File</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(formatted as Inline XBRL and</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gridSpan w:val="10"/>
          </w:tcPr>
          <w:p>
            <w:pPr>
              <w:spacing w:after="0"/>
              <w:rPr>
                <w:sz w:val="20"/>
                <w:szCs w:val="20"/>
                <w:color w:val="auto"/>
              </w:rPr>
            </w:pPr>
            <w:r>
              <w:rPr>
                <w:rFonts w:ascii="Arial" w:cs="Arial" w:eastAsia="Arial" w:hAnsi="Arial"/>
                <w:sz w:val="18"/>
                <w:szCs w:val="18"/>
                <w:color w:val="auto"/>
              </w:rPr>
              <w:t>contained in Exhibit 101).</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720" w:type="dxa"/>
            <w:vAlign w:val="bottom"/>
            <w:gridSpan w:val="2"/>
          </w:tcPr>
          <w:p>
            <w:pPr>
              <w:ind w:left="1720"/>
              <w:spacing w:after="0"/>
              <w:rPr>
                <w:sz w:val="20"/>
                <w:szCs w:val="20"/>
                <w:color w:val="auto"/>
              </w:rPr>
            </w:pPr>
            <w:r>
              <w:rPr>
                <w:rFonts w:ascii="Arial" w:cs="Arial" w:eastAsia="Arial" w:hAnsi="Arial"/>
                <w:sz w:val="18"/>
                <w:szCs w:val="18"/>
                <w:b w:val="1"/>
                <w:bCs w:val="1"/>
                <w:color w:val="auto"/>
              </w:rPr>
              <w:t>QUANTERIX CORPORATION</w:t>
            </w:r>
          </w:p>
        </w:tc>
      </w:tr>
      <w:tr>
        <w:trPr>
          <w:trHeight w:val="459"/>
        </w:trPr>
        <w:tc>
          <w:tcPr>
            <w:tcW w:w="3180" w:type="dxa"/>
            <w:vAlign w:val="bottom"/>
          </w:tcPr>
          <w:p>
            <w:pPr>
              <w:spacing w:after="0"/>
              <w:rPr>
                <w:sz w:val="20"/>
                <w:szCs w:val="20"/>
                <w:color w:val="auto"/>
              </w:rPr>
            </w:pPr>
            <w:r>
              <w:rPr>
                <w:rFonts w:ascii="Arial" w:cs="Arial" w:eastAsia="Arial" w:hAnsi="Arial"/>
                <w:sz w:val="18"/>
                <w:szCs w:val="18"/>
                <w:color w:val="auto"/>
              </w:rPr>
              <w:t>Dated: May 5, 2021</w:t>
            </w:r>
          </w:p>
        </w:tc>
        <w:tc>
          <w:tcPr>
            <w:tcW w:w="5720" w:type="dxa"/>
            <w:vAlign w:val="bottom"/>
            <w:gridSpan w:val="2"/>
          </w:tcPr>
          <w:p>
            <w:pPr>
              <w:ind w:left="1720"/>
              <w:spacing w:after="0"/>
              <w:rPr>
                <w:sz w:val="20"/>
                <w:szCs w:val="20"/>
                <w:color w:val="auto"/>
              </w:rPr>
            </w:pPr>
            <w:r>
              <w:rPr>
                <w:rFonts w:ascii="Arial" w:cs="Arial" w:eastAsia="Arial" w:hAnsi="Arial"/>
                <w:sz w:val="18"/>
                <w:szCs w:val="18"/>
                <w:color w:val="auto"/>
              </w:rPr>
              <w:t>By:  /s/ E. Kevin Hrusovsky</w:t>
            </w:r>
          </w:p>
        </w:tc>
      </w:tr>
      <w:tr>
        <w:trPr>
          <w:trHeight w:val="195"/>
        </w:trPr>
        <w:tc>
          <w:tcPr>
            <w:tcW w:w="3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Chairman, President and Chief Executive</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Officer</w:t>
            </w:r>
          </w:p>
        </w:tc>
      </w:tr>
      <w:tr>
        <w:trPr>
          <w:trHeight w:val="230"/>
        </w:trPr>
        <w:tc>
          <w:tcPr>
            <w:tcW w:w="3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Dated: May 5, 2021</w:t>
            </w:r>
          </w:p>
        </w:tc>
        <w:tc>
          <w:tcPr>
            <w:tcW w:w="5720" w:type="dxa"/>
            <w:vAlign w:val="bottom"/>
            <w:gridSpan w:val="2"/>
          </w:tcPr>
          <w:p>
            <w:pPr>
              <w:ind w:left="1720"/>
              <w:spacing w:after="0"/>
              <w:rPr>
                <w:sz w:val="20"/>
                <w:szCs w:val="20"/>
                <w:color w:val="auto"/>
              </w:rPr>
            </w:pPr>
            <w:r>
              <w:rPr>
                <w:rFonts w:ascii="Arial" w:cs="Arial" w:eastAsia="Arial" w:hAnsi="Arial"/>
                <w:sz w:val="18"/>
                <w:szCs w:val="18"/>
                <w:color w:val="auto"/>
              </w:rPr>
              <w:t>By:  /s/ Amol Chaubal</w:t>
            </w:r>
          </w:p>
        </w:tc>
      </w:tr>
      <w:tr>
        <w:trPr>
          <w:trHeight w:val="195"/>
        </w:trPr>
        <w:tc>
          <w:tcPr>
            <w:tcW w:w="31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Amol Chaubal</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Amol Chaubal, certify that:</w:t>
      </w:r>
    </w:p>
    <w:p>
      <w:pPr>
        <w:spacing w:after="0" w:line="22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440" w:firstLine="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260" w:hanging="4"/>
        <w:spacing w:after="0" w:line="340" w:lineRule="auto"/>
        <w:tabs>
          <w:tab w:leader="none" w:pos="13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5"/>
          <w:szCs w:val="15"/>
          <w:color w:val="auto"/>
        </w:rPr>
      </w:pPr>
    </w:p>
    <w:p>
      <w:pPr>
        <w:ind w:left="660" w:right="280" w:hanging="4"/>
        <w:spacing w:after="0" w:line="311" w:lineRule="auto"/>
        <w:tabs>
          <w:tab w:leader="none" w:pos="13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660" w:right="140" w:hanging="4"/>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160" w:hanging="4"/>
        <w:spacing w:after="0" w:line="286" w:lineRule="auto"/>
        <w:tabs>
          <w:tab w:leader="none" w:pos="1305"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8"/>
        <w:spacing w:after="0" w:line="263" w:lineRule="auto"/>
        <w:tabs>
          <w:tab w:leader="none" w:pos="6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right="600" w:hanging="4"/>
        <w:spacing w:after="0" w:line="263"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320" w:hanging="4"/>
        <w:spacing w:after="0" w:line="277" w:lineRule="auto"/>
        <w:tabs>
          <w:tab w:leader="none" w:pos="13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Amol Chaubal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Amol Chaubal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84"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Quarterly Report for the period ended March 31,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ind w:left="660"/>
              <w:spacing w:after="0"/>
              <w:rPr>
                <w:sz w:val="20"/>
                <w:szCs w:val="20"/>
                <w:color w:val="auto"/>
              </w:rPr>
            </w:pPr>
            <w:r>
              <w:rPr>
                <w:rFonts w:ascii="Arial" w:cs="Arial" w:eastAsia="Arial" w:hAnsi="Arial"/>
                <w:sz w:val="18"/>
                <w:szCs w:val="18"/>
                <w:color w:val="auto"/>
              </w:rPr>
              <w:t>Dated: May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648"/>
        </w:trPr>
        <w:tc>
          <w:tcPr>
            <w:tcW w:w="4960" w:type="dxa"/>
            <w:vAlign w:val="bottom"/>
          </w:tcPr>
          <w:p>
            <w:pPr>
              <w:ind w:left="660"/>
              <w:spacing w:after="0"/>
              <w:rPr>
                <w:sz w:val="20"/>
                <w:szCs w:val="20"/>
                <w:color w:val="auto"/>
              </w:rPr>
            </w:pPr>
            <w:r>
              <w:rPr>
                <w:rFonts w:ascii="Arial" w:cs="Arial" w:eastAsia="Arial" w:hAnsi="Arial"/>
                <w:sz w:val="18"/>
                <w:szCs w:val="18"/>
                <w:color w:val="auto"/>
              </w:rPr>
              <w:t>Dated: May 5,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Amol Chaubal</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Amol Chaubal</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decimal"/>
      <w:start w:val="1"/>
    </w:lvl>
  </w:abstractNum>
  <w:abstractNum w:abstractNumId="4">
    <w:nsid w:val="7545E146"/>
    <w:multiLevelType w:val="hybridMultilevel"/>
    <w:lvl w:ilvl="0">
      <w:lvlJc w:val="left"/>
      <w:lvlText w:val="%1."/>
      <w:numFmt w:val="decimal"/>
      <w:start w:val="11"/>
    </w:lvl>
    <w:lvl w:ilvl="1">
      <w:lvlJc w:val="left"/>
      <w:lvlText w:val="%2"/>
      <w:numFmt w:val="decimal"/>
      <w:start w:val="1"/>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2021-05-06T05:43:19Z</dcterms:created>
  <dcterms:modified xsi:type="dcterms:W3CDTF">2021-05-06T05:43:19Z</dcterms:modified>
</cp:coreProperties>
</file>