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165100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340" w:hanging="330"/>
        <w:spacing w:after="0" w:line="237" w:lineRule="auto"/>
        <w:tabs>
          <w:tab w:leader="none" w:pos="3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340" w:hanging="330"/>
        <w:spacing w:after="0" w:line="262" w:lineRule="auto"/>
        <w:tabs>
          <w:tab w:leader="none" w:pos="3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340"/>
        <w:spacing w:after="0"/>
        <w:tabs>
          <w:tab w:leader="none" w:pos="6200" w:val="left"/>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148590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QUANTERIX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20-8957988</w:t>
            </w:r>
          </w:p>
        </w:tc>
      </w:tr>
      <w:tr>
        <w:trPr>
          <w:trHeight w:val="188"/>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470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8"/>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9"/>
              </w:rPr>
              <w:t>Billerica, MA</w:t>
            </w:r>
          </w:p>
        </w:tc>
        <w:tc>
          <w:tcPr>
            <w:tcW w:w="3220" w:type="dxa"/>
            <w:vAlign w:val="bottom"/>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01821</w:t>
            </w:r>
          </w:p>
        </w:tc>
      </w:tr>
      <w:tr>
        <w:trPr>
          <w:trHeight w:val="239"/>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4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88265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 w:lineRule="exact"/>
        <w:rPr>
          <w:sz w:val="24"/>
          <w:szCs w:val="24"/>
          <w:color w:val="auto"/>
        </w:rPr>
      </w:pPr>
    </w:p>
    <w:p>
      <w:pPr>
        <w:ind w:left="20" w:right="260" w:firstLine="51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20"/>
        <w:spacing w:after="0" w:line="242" w:lineRule="exact"/>
        <w:tabs>
          <w:tab w:leader="none" w:pos="5080" w:val="left"/>
          <w:tab w:leader="none" w:pos="5800" w:val="left"/>
        </w:tabs>
        <w:rPr>
          <w:sz w:val="20"/>
          <w:szCs w:val="20"/>
          <w:color w:val="auto"/>
        </w:rPr>
      </w:pPr>
      <w:r>
        <w:rPr>
          <w:rFonts w:ascii="Times New Roman" w:cs="Times New Roman" w:eastAsia="Times New Roman" w:hAnsi="Times New Roman"/>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16" w:lineRule="exact"/>
        <w:rPr>
          <w:sz w:val="24"/>
          <w:szCs w:val="24"/>
          <w:color w:val="auto"/>
        </w:rPr>
      </w:pPr>
    </w:p>
    <w:p>
      <w:pPr>
        <w:jc w:val="both"/>
        <w:ind w:left="20" w:right="5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left="20" w:right="26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9" w:lineRule="exact"/>
        <w:rPr>
          <w:sz w:val="24"/>
          <w:szCs w:val="24"/>
          <w:color w:val="auto"/>
        </w:rPr>
      </w:pPr>
    </w:p>
    <w:p>
      <w:pPr>
        <w:ind w:left="20" w:right="3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 2022, the registrant had 36,987,560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557530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77470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33"/>
        </w:trPr>
        <w:tc>
          <w:tcPr>
            <w:tcW w:w="93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62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60" w:type="dxa"/>
            <w:vAlign w:val="bottom"/>
            <w:gridSpan w:val="15"/>
          </w:tcPr>
          <w:p>
            <w:pPr>
              <w:jc w:val="center"/>
              <w:ind w:right="290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38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Financial Statements</w:t>
            </w:r>
          </w:p>
        </w:tc>
        <w:tc>
          <w:tcPr>
            <w:tcW w:w="980" w:type="dxa"/>
            <w:vAlign w:val="bottom"/>
            <w:gridSpan w:val="3"/>
          </w:tcPr>
          <w:p>
            <w:pPr>
              <w:spacing w:after="0"/>
              <w:rPr>
                <w:sz w:val="24"/>
                <w:szCs w:val="24"/>
                <w:color w:val="auto"/>
              </w:rPr>
            </w:pPr>
          </w:p>
        </w:tc>
        <w:tc>
          <w:tcPr>
            <w:tcW w:w="3240" w:type="dxa"/>
            <w:vAlign w:val="bottom"/>
            <w:tcBorders>
              <w:top w:val="single" w:sz="8" w:color="0000EE"/>
            </w:tcBorders>
            <w:gridSpan w:val="7"/>
          </w:tcPr>
          <w:p>
            <w:pPr>
              <w:spacing w:after="0"/>
              <w:rPr>
                <w:sz w:val="24"/>
                <w:szCs w:val="24"/>
                <w:color w:val="auto"/>
              </w:rPr>
            </w:pPr>
          </w:p>
        </w:tc>
        <w:tc>
          <w:tcPr>
            <w:tcW w:w="30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8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at June 30, 2022 and December 31, 2021</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and Six Months Ended June 30, 2022 and 2021</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40" w:type="dxa"/>
            <w:vAlign w:val="bottom"/>
          </w:tcPr>
          <w:p>
            <w:pPr>
              <w:spacing w:after="0"/>
              <w:rPr>
                <w:sz w:val="17"/>
                <w:szCs w:val="17"/>
                <w:color w:val="auto"/>
              </w:rPr>
            </w:pPr>
          </w:p>
        </w:tc>
        <w:tc>
          <w:tcPr>
            <w:tcW w:w="8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Loss for the Three and Six Months Ended June 30,</w:t>
            </w: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42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2022 and 2021</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5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 for the Three and Six Months Ended June 30,</w:t>
            </w:r>
          </w:p>
        </w:tc>
        <w:tc>
          <w:tcPr>
            <w:tcW w:w="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93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49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23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93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13"/>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380" w:type="dxa"/>
            <w:vAlign w:val="bottom"/>
          </w:tcPr>
          <w:p>
            <w:pPr>
              <w:spacing w:after="0"/>
              <w:rPr>
                <w:sz w:val="24"/>
                <w:szCs w:val="24"/>
                <w:color w:val="auto"/>
              </w:rPr>
            </w:pPr>
          </w:p>
        </w:tc>
      </w:tr>
      <w:tr>
        <w:trPr>
          <w:trHeight w:val="412"/>
        </w:trPr>
        <w:tc>
          <w:tcPr>
            <w:tcW w:w="31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2940" w:type="dxa"/>
            <w:vAlign w:val="bottom"/>
            <w:tcBorders>
              <w:top w:val="single" w:sz="8" w:color="0000EE"/>
            </w:tcBorders>
            <w:gridSpan w:val="5"/>
          </w:tcPr>
          <w:p>
            <w:pPr>
              <w:spacing w:after="0"/>
              <w:rPr>
                <w:sz w:val="24"/>
                <w:szCs w:val="24"/>
                <w:color w:val="auto"/>
              </w:rPr>
            </w:pPr>
          </w:p>
        </w:tc>
        <w:tc>
          <w:tcPr>
            <w:tcW w:w="32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8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746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444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28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646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02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93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8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48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7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80" w:type="dxa"/>
            <w:vAlign w:val="bottom"/>
            <w:tcBorders>
              <w:top w:val="single" w:sz="8" w:color="0000EE"/>
            </w:tcBorders>
          </w:tcPr>
          <w:p>
            <w:pPr>
              <w:spacing w:after="0"/>
              <w:rPr>
                <w:sz w:val="24"/>
                <w:szCs w:val="24"/>
                <w:color w:val="auto"/>
              </w:rPr>
            </w:pPr>
          </w:p>
        </w:tc>
        <w:tc>
          <w:tcPr>
            <w:tcW w:w="8200" w:type="dxa"/>
            <w:vAlign w:val="bottom"/>
            <w:gridSpan w:val="2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3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including anticipated benefits and costs associated with our plan of restructuring announced in August 2022, and are subject to a number of risks, uncertainties and assumptions, including those described in Part II, Item 1A , “Risk Factors” and elsewhere in this Quarterly Report on Form 10-Q and in Part I, Item 1A, “Risk Factors” in our Annual Report on Form 10-K for the year ended December 31, 2021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00"/>
          </w:cols>
          <w:pgMar w:left="900" w:top="513"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396,465</w:t>
            </w:r>
          </w:p>
        </w:tc>
      </w:tr>
      <w:tr>
        <w:trPr>
          <w:trHeight w:val="189"/>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$1,000 and $419 as of June 30, 2022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w:t>
            </w:r>
          </w:p>
        </w:tc>
      </w:tr>
      <w:tr>
        <w:trPr>
          <w:trHeight w:val="205"/>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22,190</w:t>
            </w:r>
          </w:p>
        </w:tc>
      </w:tr>
      <w:tr>
        <w:trPr>
          <w:trHeight w:val="203"/>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w:t>
            </w:r>
          </w:p>
        </w:tc>
      </w:tr>
      <w:tr>
        <w:trPr>
          <w:trHeight w:val="196"/>
        </w:trPr>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413,198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448,955</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0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17,960</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r>
      <w:tr>
        <w:trPr>
          <w:trHeight w:val="20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11,491</w:t>
            </w:r>
          </w:p>
        </w:tc>
      </w:tr>
      <w:tr>
        <w:trPr>
          <w:trHeight w:val="20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36"/>
        </w:trPr>
        <w:tc>
          <w:tcPr>
            <w:tcW w:w="7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488,601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501,527</w:t>
            </w:r>
          </w:p>
        </w:tc>
      </w:tr>
      <w:tr>
        <w:trPr>
          <w:trHeight w:val="183"/>
        </w:trPr>
        <w:tc>
          <w:tcPr>
            <w:tcW w:w="71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w:t>
            </w: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accrued expenses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w:t>
            </w: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w:t>
            </w: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 term lease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03"/>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196"/>
        </w:trPr>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36,977</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20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 term lease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20,464</w:t>
            </w: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20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7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Authorized—120,000,000 shares as of June 30, 2022 and December 31, 2021; issued and outstanding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3"/>
        </w:trPr>
        <w:tc>
          <w:tcPr>
            <w:tcW w:w="7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36,974,827 and 36,768,035 shares as of June 30, 2022 and December 31, 2021,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5"/>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756,139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745,936</w:t>
            </w: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0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(348,517)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(305,462)</w:t>
            </w:r>
          </w:p>
        </w:tc>
      </w:tr>
      <w:tr>
        <w:trPr>
          <w:trHeight w:val="196"/>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405,456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440,952</w:t>
            </w:r>
          </w:p>
        </w:tc>
      </w:tr>
      <w:tr>
        <w:trPr>
          <w:trHeight w:val="196"/>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488,601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501,527</w:t>
            </w: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36,924</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revenue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52,580</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Costs of goods sold: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14,789</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11,497</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13,437</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52,757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33,670</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27,542</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66,416</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53,680</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(23,457)</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(24,902)</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(11,897)</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(43,055)</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(22,001)</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36,922,468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36,347,365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36,886,879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35,396,431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31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(22,001)</w:t>
            </w:r>
          </w:p>
        </w:tc>
      </w:tr>
      <w:tr>
        <w:trPr>
          <w:trHeight w:val="213"/>
        </w:trPr>
        <w:tc>
          <w:tcPr>
            <w:tcW w:w="3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10"/>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(26,349)</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(45,699)</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w:t>
            </w:r>
          </w:p>
        </w:tc>
      </w:tr>
      <w:tr>
        <w:trPr>
          <w:trHeight w:val="20"/>
        </w:trPr>
        <w:tc>
          <w:tcPr>
            <w:tcW w:w="3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(43,055)</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(22,001)</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 step-up amortization</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Credit loss expense on accounts receivable</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Reduction in the carrying amount of right-of-use assets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non-current assets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compensation and benefits, other accrued expenses and other current liabilities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0" w:type="dxa"/>
            <w:vAlign w:val="bottom"/>
          </w:tcPr>
          <w:p>
            <w:pPr>
              <w:spacing w:after="0"/>
              <w:rPr>
                <w:sz w:val="1"/>
                <w:szCs w:val="1"/>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Contract acquisition costs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03"/>
        </w:trPr>
        <w:tc>
          <w:tcPr>
            <w:tcW w:w="6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(23,838)</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(7,339)</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RADx grant on assets purchased</w:t>
            </w: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 of common stock in underwritten public offering, net</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269,718</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Proceeds from ESPP purchase</w:t>
            </w:r>
          </w:p>
        </w:tc>
        <w:tc>
          <w:tcPr>
            <w:tcW w:w="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275,706</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249,739</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foreign currency exchange rate on cash</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restricted cash, and cash equivalents at beginning of period</w:t>
            </w:r>
          </w:p>
        </w:tc>
        <w:tc>
          <w:tcPr>
            <w:tcW w:w="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399,042</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182,584</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restricted cash, and cash equivalents at end of period</w:t>
            </w: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363,887</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432,180</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361,293</w:t>
            </w:r>
          </w:p>
        </w:tc>
        <w:tc>
          <w:tcPr>
            <w:tcW w:w="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430,780</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363,887</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432,180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See accompanying note</w:t>
      </w:r>
      <w:r>
        <w:rPr>
          <w:rFonts w:ascii="Times New Roman" w:cs="Times New Roman" w:eastAsia="Times New Roman" w:hAnsi="Times New Roman"/>
          <w:sz w:val="17"/>
          <w:szCs w:val="17"/>
          <w:color w:val="auto"/>
        </w:rPr>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Quanterix Corporation</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20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2022</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36,899,156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750,742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(323,615)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426,408</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5,186</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48"/>
        </w:trPr>
        <w:tc>
          <w:tcPr>
            <w:tcW w:w="2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(24,902)</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2022</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36,974,827</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756,139</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(348,517)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405,456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120" w:type="dxa"/>
            <w:vAlign w:val="bottom"/>
          </w:tcPr>
          <w:p>
            <w:pPr>
              <w:spacing w:after="0"/>
              <w:rPr>
                <w:sz w:val="24"/>
                <w:szCs w:val="24"/>
                <w:color w:val="auto"/>
              </w:rPr>
            </w:pPr>
          </w:p>
        </w:tc>
        <w:tc>
          <w:tcPr>
            <w:tcW w:w="20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2021</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36,294,928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728,128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(257,878)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471,469</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111,055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3,650</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(11,897)</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(11,897)</w:t>
            </w:r>
          </w:p>
        </w:tc>
        <w:tc>
          <w:tcPr>
            <w:tcW w:w="0" w:type="dxa"/>
            <w:vAlign w:val="bottom"/>
          </w:tcPr>
          <w:p>
            <w:pPr>
              <w:spacing w:after="0"/>
              <w:rPr>
                <w:sz w:val="1"/>
                <w:szCs w:val="1"/>
                <w:color w:val="auto"/>
              </w:rPr>
            </w:pPr>
          </w:p>
        </w:tc>
      </w:tr>
      <w:tr>
        <w:trPr>
          <w:trHeight w:val="142"/>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2021</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36,454,369</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734,170</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(269,775)</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466,010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120" w:type="dxa"/>
            <w:vAlign w:val="bottom"/>
          </w:tcPr>
          <w:p>
            <w:pPr>
              <w:spacing w:after="0"/>
              <w:rPr>
                <w:sz w:val="24"/>
                <w:szCs w:val="24"/>
                <w:color w:val="auto"/>
              </w:rPr>
            </w:pPr>
          </w:p>
        </w:tc>
        <w:tc>
          <w:tcPr>
            <w:tcW w:w="20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36,768,035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745,936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(305,462)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440,952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84,536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48"/>
        </w:trPr>
        <w:tc>
          <w:tcPr>
            <w:tcW w:w="21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120" w:type="dxa"/>
            <w:vAlign w:val="bottom"/>
          </w:tcPr>
          <w:p>
            <w:pPr>
              <w:ind w:left="18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ESPP stock purchase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(43,055)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(43,055)</w:t>
            </w:r>
          </w:p>
        </w:tc>
        <w:tc>
          <w:tcPr>
            <w:tcW w:w="0" w:type="dxa"/>
            <w:vAlign w:val="bottom"/>
          </w:tcPr>
          <w:p>
            <w:pPr>
              <w:spacing w:after="0"/>
              <w:rPr>
                <w:sz w:val="1"/>
                <w:szCs w:val="1"/>
                <w:color w:val="auto"/>
              </w:rPr>
            </w:pPr>
          </w:p>
        </w:tc>
      </w:tr>
      <w:tr>
        <w:trPr>
          <w:trHeight w:val="142"/>
        </w:trPr>
        <w:tc>
          <w:tcPr>
            <w:tcW w:w="2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2022</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36,974,827</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756,139</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(348,517)</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405,456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120" w:type="dxa"/>
            <w:vAlign w:val="bottom"/>
          </w:tcPr>
          <w:p>
            <w:pPr>
              <w:spacing w:after="0"/>
              <w:rPr>
                <w:sz w:val="24"/>
                <w:szCs w:val="24"/>
                <w:color w:val="auto"/>
              </w:rPr>
            </w:pPr>
          </w:p>
        </w:tc>
        <w:tc>
          <w:tcPr>
            <w:tcW w:w="200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2020</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31,796,544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451,433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(247,774)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206,125</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8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120" w:type="dxa"/>
            <w:vAlign w:val="bottom"/>
          </w:tcPr>
          <w:p>
            <w:pPr>
              <w:ind w:left="18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392,379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5,469</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133,732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120" w:type="dxa"/>
            <w:vAlign w:val="bottom"/>
          </w:tcPr>
          <w:p>
            <w:pPr>
              <w:ind w:left="18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ESPP stock purchase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4,107,142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269,714</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269,718</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underwritten public offering, net</w:t>
            </w:r>
          </w:p>
        </w:tc>
        <w:tc>
          <w:tcPr>
            <w:tcW w:w="10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7,036</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148"/>
        </w:trPr>
        <w:tc>
          <w:tcPr>
            <w:tcW w:w="2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(22,001)</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2021</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36,454,369</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734,170</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(269,775)</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466,010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10060"/>
          </w:cols>
          <w:pgMar w:left="900" w:top="513" w:right="9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launched its first immunoassay platform, the Simoa HD-1 (HD-1), in 2014. The HD-1 is a fully automated immunoassay bead-based platform with multiplexing and custom assay capability, and related assay test kits and consumable materials. In the fourth quarter of 2017, the Company launched a second bead-based immunoassay platform (SR-X) with a more compact footprint than the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HD-1 and phased out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and have been prepared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2021 filed with the SEC on March 1, 2022.</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years’ consolidated financial statements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2021, included in the Company’s Annual Report on Form 10-K filed with the SEC on March 1, 2022. There have been no material changes in the Company’s significant accounting policies during the six months ended June 30, 2022. For a discussion of recently issued accounting standards updates, refer to Note 2 in the Company’s Annual Report on Form 10-K filed with the SEC on March 1, 2022.</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and other revenue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For contract research services recognized over time, the Company uses the output method to measure the progress toward the complete satisfaction of the performance obligations. Revenues from other services are immaterial.</w:t>
      </w:r>
    </w:p>
    <w:p>
      <w:pPr>
        <w:spacing w:after="0" w:line="18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the Company entered into a Master Collaboration Agreement with Eli Lilly and Company (Lilly) establishing a framework for future projects focused on the development of Simoa immunoassays (the Lilly Collaboration Agreement). The Company also entered into a Statement of Work under the Lilly Collaboration Agreement to perform assay research and development services within the field of Alzheimer’s disease. In connection with the Lilly Collaboration Agreement, the Company received a non-refundable up-front payment of $5.0 million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and under the Statement of Work receives $1.5 million per calendar quarter during 2022, beginning with the first quarter of 2022. The revenue will be recognized over a one-year period.</w:t>
      </w:r>
    </w:p>
    <w:p>
      <w:pPr>
        <w:spacing w:after="0" w:line="16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Concurrent with the execution of the Lilly Collaboration Agreement, the Company entered into a Technology License Agreement (the Lilly License) under which Lilly granted to the Company a non-exclusive license to Lilly’s proprietary P-tau217 antibody technology for potential near-term use in research use only products and services and future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diagnostics applications within the field of Alzheimer’s disease. In consideration of the license, the Company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upfront fee, is required to make milestone payments based on the achievement of predetermined regulatory and commercial events, and will pay a royalty on net sales of licensed products.</w:t>
      </w:r>
    </w:p>
    <w:p>
      <w:pPr>
        <w:spacing w:after="0" w:line="187" w:lineRule="exact"/>
        <w:rPr>
          <w:sz w:val="20"/>
          <w:szCs w:val="20"/>
          <w:color w:val="auto"/>
        </w:rPr>
      </w:pPr>
    </w:p>
    <w:p>
      <w:pPr>
        <w:jc w:val="both"/>
        <w:ind w:left="60" w:right="179" w:firstLine="648"/>
        <w:spacing w:after="0" w:line="257" w:lineRule="auto"/>
        <w:rPr>
          <w:sz w:val="20"/>
          <w:szCs w:val="20"/>
          <w:color w:val="auto"/>
        </w:rPr>
      </w:pPr>
      <w:r>
        <w:rPr>
          <w:rFonts w:ascii="Times New Roman" w:cs="Times New Roman" w:eastAsia="Times New Roman" w:hAnsi="Times New Roman"/>
          <w:sz w:val="18"/>
          <w:szCs w:val="18"/>
          <w:color w:val="auto"/>
        </w:rPr>
        <w:t>The Company concluded that the Lilly Collaboration Agreement (including the Statement of Work) and the Lilly License represented a single contract with a customer and is accounting for the agreements as service revenue recognized over time as the services are delivered. The transaction price for the Lilly Collaboration Agreement is $10.9</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million. Contingent amounts due to Lilly represent variable consideration payable to a customer and will be recognized as reductions to service revenue up to the amount of the transaction price recognized, when probable. The Company is utilizing an input method to measure the delivery of services by calculating costs incurred at each period end relative to total costs expected to be incurred.</w:t>
      </w:r>
    </w:p>
    <w:p>
      <w:pPr>
        <w:spacing w:after="0" w:line="18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approximately $2.7 million and $5.4 million, respectively, of revenue from the Lilly Collaboration Agreement as service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revenue</w:t>
      </w:r>
    </w:p>
    <w:p>
      <w:pPr>
        <w:spacing w:after="0" w:line="2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 may enter into agreements to license the intellectual property and know-how associated with its instruments and certain antibodies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When disaggregating revenue, the Company considered all of the economic factors that may affect its revenues.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from contracts with customers by revenue type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4"/>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Three Months Ended June 30, 2022</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 June 30, 2022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3"/>
                <w:szCs w:val="13"/>
                <w:b w:val="1"/>
                <w:bCs w:val="1"/>
                <w:color w:val="auto"/>
              </w:rPr>
              <w:t>NA</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20" w:type="dxa"/>
            <w:vAlign w:val="bottom"/>
          </w:tcPr>
          <w:p>
            <w:pPr>
              <w:spacing w:after="0"/>
              <w:rPr>
                <w:sz w:val="17"/>
                <w:szCs w:val="17"/>
                <w:color w:val="auto"/>
              </w:rPr>
            </w:pPr>
          </w:p>
        </w:tc>
        <w:tc>
          <w:tcPr>
            <w:tcW w:w="260" w:type="dxa"/>
            <w:vAlign w:val="bottom"/>
            <w:gridSpan w:val="3"/>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20" w:type="dxa"/>
            <w:vAlign w:val="bottom"/>
          </w:tcPr>
          <w:p>
            <w:pPr>
              <w:spacing w:after="0"/>
              <w:rPr>
                <w:sz w:val="17"/>
                <w:szCs w:val="17"/>
                <w:color w:val="auto"/>
              </w:rPr>
            </w:pP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20" w:type="dxa"/>
            <w:vAlign w:val="bottom"/>
          </w:tcPr>
          <w:p>
            <w:pPr>
              <w:spacing w:after="0"/>
              <w:rPr>
                <w:sz w:val="17"/>
                <w:szCs w:val="17"/>
                <w:color w:val="auto"/>
              </w:rPr>
            </w:pPr>
          </w:p>
        </w:tc>
        <w:tc>
          <w:tcPr>
            <w:tcW w:w="360" w:type="dxa"/>
            <w:vAlign w:val="bottom"/>
            <w:gridSpan w:val="3"/>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Consumable and other</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12,187</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Service-type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3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services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services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Collaboration and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license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Collaboration and</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revenue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4"/>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Three Months Ended June 30, 2021</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 June 30, 2021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61"/>
              <w:spacing w:after="0" w:line="142" w:lineRule="exact"/>
              <w:rPr>
                <w:sz w:val="20"/>
                <w:szCs w:val="20"/>
                <w:color w:val="auto"/>
              </w:rPr>
            </w:pPr>
            <w:r>
              <w:rPr>
                <w:rFonts w:ascii="Times New Roman" w:cs="Times New Roman" w:eastAsia="Times New Roman" w:hAnsi="Times New Roman"/>
                <w:sz w:val="13"/>
                <w:szCs w:val="13"/>
                <w:b w:val="1"/>
                <w:bCs w:val="1"/>
                <w:color w:val="auto"/>
              </w:rPr>
              <w:t>NA</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1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320" w:type="dxa"/>
            <w:vAlign w:val="bottom"/>
            <w:gridSpan w:val="5"/>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20" w:type="dxa"/>
            <w:vAlign w:val="bottom"/>
          </w:tcPr>
          <w:p>
            <w:pPr>
              <w:spacing w:after="0"/>
              <w:rPr>
                <w:sz w:val="17"/>
                <w:szCs w:val="17"/>
                <w:color w:val="auto"/>
              </w:rPr>
            </w:pPr>
          </w:p>
        </w:tc>
        <w:tc>
          <w:tcPr>
            <w:tcW w:w="360" w:type="dxa"/>
            <w:vAlign w:val="bottom"/>
            <w:gridSpan w:val="3"/>
          </w:tcPr>
          <w:p>
            <w:pPr>
              <w:jc w:val="right"/>
              <w:ind w:right="9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w:t>
            </w:r>
          </w:p>
        </w:tc>
        <w:tc>
          <w:tcPr>
            <w:tcW w:w="20" w:type="dxa"/>
            <w:vAlign w:val="bottom"/>
          </w:tcPr>
          <w:p>
            <w:pPr>
              <w:spacing w:after="0"/>
              <w:rPr>
                <w:sz w:val="17"/>
                <w:szCs w:val="17"/>
                <w:color w:val="auto"/>
              </w:rPr>
            </w:pPr>
          </w:p>
        </w:tc>
        <w:tc>
          <w:tcPr>
            <w:tcW w:w="260" w:type="dxa"/>
            <w:vAlign w:val="bottom"/>
            <w:gridSpan w:val="3"/>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20" w:type="dxa"/>
            <w:vAlign w:val="bottom"/>
          </w:tcPr>
          <w:p>
            <w:pPr>
              <w:spacing w:after="0"/>
              <w:rPr>
                <w:sz w:val="17"/>
                <w:szCs w:val="17"/>
                <w:color w:val="auto"/>
              </w:rPr>
            </w:pPr>
          </w:p>
        </w:tc>
        <w:tc>
          <w:tcPr>
            <w:tcW w:w="2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20" w:type="dxa"/>
            <w:vAlign w:val="bottom"/>
          </w:tcPr>
          <w:p>
            <w:pPr>
              <w:spacing w:after="0"/>
              <w:rPr>
                <w:sz w:val="17"/>
                <w:szCs w:val="17"/>
                <w:color w:val="auto"/>
              </w:rPr>
            </w:pPr>
          </w:p>
        </w:tc>
        <w:tc>
          <w:tcPr>
            <w:tcW w:w="360" w:type="dxa"/>
            <w:vAlign w:val="bottom"/>
            <w:gridSpan w:val="3"/>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Consumable and other</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10,934</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21,601</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11,207</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Service-type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warranties</w:t>
            </w:r>
          </w:p>
        </w:tc>
        <w:tc>
          <w:tcPr>
            <w:tcW w:w="1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3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services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services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CEEFF"/>
            </w:tcBorders>
            <w:gridSpan w:val="2"/>
          </w:tcPr>
          <w:p>
            <w:pPr>
              <w:spacing w:after="0"/>
              <w:rPr>
                <w:sz w:val="20"/>
                <w:szCs w:val="20"/>
                <w:color w:val="auto"/>
              </w:rPr>
            </w:pP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9,162</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Collaboration and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license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Collaboration and</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license revenue</w:t>
            </w:r>
          </w:p>
        </w:tc>
        <w:tc>
          <w:tcPr>
            <w:tcW w:w="1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For each of the three and six months ended June 30, 2022, there was one customer that accounted for 18% of the Company’s total revenue.</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Company may have more than one range of standalone selling price for certain products and services based on the pricing for different customer classes.</w:t>
      </w:r>
    </w:p>
    <w:p>
      <w:pPr>
        <w:spacing w:after="0" w:line="16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 xml:space="preserve">Variable consideration in the Company’s contracts primarily relates to (i) sales- and usage-based royalties related to the license of intellectual property in collaboration and license contracts and (ii) certain non-fixed fee research services contracts. Accounting Standard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recognizes revenue from sales- and usage-based royalty revenue at the later of when the sale or usage occurs and the satisfaction or partial satisfaction of the performance obligation to which the royalty has been allocated.</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deferred revenue from contracts with customers were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Recognition of deferred revenue</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 w:type="dxa"/>
            <w:vAlign w:val="bottom"/>
            <w:tcBorders>
              <w:top w:val="single" w:sz="8" w:color="auto"/>
            </w:tcBorders>
            <w:gridSpan w:val="2"/>
          </w:tcPr>
          <w:p>
            <w:pPr>
              <w:jc w:val="right"/>
              <w:ind w:right="66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7,460</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r>
      <w:tr>
        <w:trPr>
          <w:trHeight w:val="234"/>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w:t>
            </w:r>
          </w:p>
        </w:tc>
      </w:tr>
      <w:tr>
        <w:trPr>
          <w:trHeight w:val="209"/>
        </w:trPr>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w:t>
            </w: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280" w:space="720"/>
            <w:col w:w="3019"/>
          </w:cols>
          <w:pgMar w:left="1440" w:top="513" w:right="1440" w:bottom="1440" w:gutter="0" w:footer="0" w:header="0"/>
          <w:type w:val="continuous"/>
        </w:sect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of the performance obligations not yet satisfied or partially satisfied, $12.2 million is expected to be recognized as revenue in the next 12 months, with the remainder to be recognized within the 24 months thereafter. The $12.2 million at June 30, 2022 principally consists of amounts billed for undelivered services related to initial and extended service-type warranties and research services, as well as $0.5 million related to undelivered licenses of intellectual property for a diagnostics company (see Note 12).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Company’s sales commissions are generally based on bookings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Deferral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Recognition of costs to obtain a contract</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954"/>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954"/>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9" w:lineRule="exact"/>
        <w:rPr>
          <w:sz w:val="20"/>
          <w:szCs w:val="20"/>
          <w:color w:val="auto"/>
        </w:rPr>
      </w:pPr>
    </w:p>
    <w:p>
      <w:pPr>
        <w:ind w:left="1265" w:hanging="1265"/>
        <w:spacing w:after="0"/>
        <w:tabs>
          <w:tab w:leader="none" w:pos="1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w:t>
      </w:r>
    </w:p>
    <w:p>
      <w:pPr>
        <w:spacing w:after="0" w:line="7" w:lineRule="exact"/>
        <w:rPr>
          <w:rFonts w:ascii="Times New Roman" w:cs="Times New Roman" w:eastAsia="Times New Roman" w:hAnsi="Times New Roman"/>
          <w:sz w:val="18"/>
          <w:szCs w:val="18"/>
          <w:color w:val="auto"/>
        </w:rPr>
      </w:pPr>
    </w:p>
    <w:p>
      <w:pPr>
        <w:ind w:left="12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632</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0198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1265" w:hanging="1265"/>
        <w:spacing w:after="0"/>
        <w:tabs>
          <w:tab w:leader="none" w:pos="1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198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198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5735" w:space="720"/>
            <w:col w:w="2564"/>
          </w:cols>
          <w:pgMar w:left="1440" w:top="513" w:right="1440" w:bottom="1440" w:gutter="0" w:footer="0" w:header="0"/>
          <w:type w:val="continuous"/>
        </w:sectPr>
      </w:pPr>
    </w:p>
    <w:p>
      <w:pPr>
        <w:spacing w:after="0" w:line="5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ASC 606 provides entities with certain practical expedients and accounting policy elections to minimize the cost and burden of adoption.</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will exclude from its transaction price any amounts collected from customers related to sales and other similar taxes.</w:t>
      </w:r>
    </w:p>
    <w:p>
      <w:pPr>
        <w:sectPr>
          <w:pgSz w:w="11900" w:h="16838" w:orient="portrait"/>
          <w:cols w:equalWidth="0" w:num="1">
            <w:col w:w="9019"/>
          </w:cols>
          <w:pgMar w:left="1440" w:top="513" w:right="1440"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June 30, 2022 and 2021, respectively.</w:t>
      </w:r>
    </w:p>
    <w:p>
      <w:pPr>
        <w:spacing w:after="0" w:line="183"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grant revenue as the Company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Accounting for grants does not fall under ASC 606, as the grantor will not benefit directly from the Company’s expansion or product development. As there is no authoritative guidance under U.S. GAAP on accounting for grants to for-profit business entities from government entities, the Company has accounted for grants under workplan 2 (WP2) with the National Institute of Health (NIH) under its Rapid Acceleration of Diagnostics (RADx) program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(IAS 20). The Company accounts for grants from the Alzheimer’s Drug Discovery Foundation (ADDF)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Topic 958, </w:t>
      </w:r>
      <w:r>
        <w:rPr>
          <w:rFonts w:ascii="Times New Roman" w:cs="Times New Roman" w:eastAsia="Times New Roman" w:hAnsi="Times New Roman"/>
          <w:sz w:val="18"/>
          <w:szCs w:val="18"/>
          <w:i w:val="1"/>
          <w:iCs w:val="1"/>
          <w:color w:val="auto"/>
        </w:rPr>
        <w:t>Not-for-Profit Entities</w:t>
      </w:r>
      <w:r>
        <w:rPr>
          <w:rFonts w:ascii="Times New Roman" w:cs="Times New Roman" w:eastAsia="Times New Roman" w:hAnsi="Times New Roman"/>
          <w:sz w:val="18"/>
          <w:szCs w:val="18"/>
          <w:color w:val="auto"/>
        </w:rPr>
        <w:t xml:space="preserve"> (ASC 958).</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WP2</w:t>
      </w:r>
    </w:p>
    <w:p>
      <w:pPr>
        <w:spacing w:after="0" w:line="22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Grants to the Company under WP2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September 29, 2020, the Company entered into WP2. The contract, which had a total award value of $18.2 million, accelerated the continued development, scale-up, and deployment of the novel SARS-CoV-2 antigen detection test using the Company’s Simoa technology. The contract provided funding to expand assay kit manufacturing capacity and commercial deployment readiness. Release of the $18.2 million of funding under WP2 was based on the achievement of certain milestones. Contract funding was subject to achievement of these pre-defined milestones and the contract period ran through September 2021, with one milestone extended to May 31, 2022. As of June 30, 2022, the Company has received the full $18.2 million under WP2. During the three and six months ended June 30, 2022, the Company recognized no grant revenue and incurred no research and development expense related to WP2. During the three months ended June 30, 2021, the Company recognized $0.9 million in grant revenue and incurred $1.8 million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related to WP2. During the six months ended June 30, 2021, the Company recognized $3.2 million in grant revenue and incurred $2.9 million in research and development expense related to WP2.</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cumulative activity under WP2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5"/>
                <w:szCs w:val="15"/>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5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revenue from research and development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used for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proceeds for assets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revenue</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recognized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accrued</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cash received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received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reasonably assured</w:t>
            </w: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9"/>
        </w:trPr>
        <w:tc>
          <w:tcPr>
            <w:tcW w:w="5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WP2 grant amount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ADDF</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Under ASC 958, grants related to income are presented as part of the consolidated statements of operations, either separately or under a general heading. Both methods are acceptable under ASC 958. The Company has elected to record grants related to income separately on the consolidated statements of operations as grant revenue. The related expenses are recorded within operating expenses.</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March 24, 2022, the Company entered into a contract with ADDF (ADDF grant). ADDF is a charitable venture philanthropy entity that has granted the Company funding in support of certain activities for the development of an in vitro diagnostic (IVD) test for early detection of Alzheimer's disease. The ADDF grant, which has a total funding value of $2.3 million, restricts the Company’s use of the granted funds to be used solely for activities related to the Alzheimer’s diagnostic test development project. Contract funding is subject to achievement of these pre-defined milestones and the contract period runs through June 2024. The Company recognizes revenue over time as the related services are performed. As of June 30, 2022, the Company had received $1.3 million out of the full $2.3 million under the ADDF grant. During the three and six months ended June 30, 2022, the Company recognized $0.1 million in grant revenue and incurred $0.1 million in research and development expense related to the ADDF grant.</w:t>
      </w:r>
    </w:p>
    <w:p>
      <w:pPr>
        <w:spacing w:after="0" w:line="3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have been excluded from the calculation of diluted net loss per share as their effect would be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8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2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2,578,139</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2,277,005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2,382,744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2,277,005</w:t>
            </w:r>
          </w:p>
        </w:tc>
        <w:tc>
          <w:tcPr>
            <w:tcW w:w="20" w:type="dxa"/>
            <w:vAlign w:val="bottom"/>
          </w:tcPr>
          <w:p>
            <w:pPr>
              <w:spacing w:after="0"/>
              <w:rPr>
                <w:sz w:val="18"/>
                <w:szCs w:val="18"/>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and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928,192</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572,132</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759,143</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572,132</w:t>
            </w:r>
          </w:p>
        </w:tc>
        <w:tc>
          <w:tcPr>
            <w:tcW w:w="20" w:type="dxa"/>
            <w:vAlign w:val="bottom"/>
          </w:tcPr>
          <w:p>
            <w:pPr>
              <w:spacing w:after="0"/>
              <w:rPr>
                <w:sz w:val="20"/>
                <w:szCs w:val="20"/>
                <w:color w:val="auto"/>
              </w:rPr>
            </w:pPr>
          </w:p>
        </w:tc>
      </w:tr>
      <w:tr>
        <w:trPr>
          <w:trHeight w:val="643"/>
        </w:trPr>
        <w:tc>
          <w:tcPr>
            <w:tcW w:w="3620" w:type="dxa"/>
            <w:vAlign w:val="bottom"/>
          </w:tcPr>
          <w:p>
            <w:pPr>
              <w:spacing w:after="0"/>
              <w:rPr>
                <w:sz w:val="24"/>
                <w:szCs w:val="24"/>
                <w:color w:val="auto"/>
              </w:rPr>
            </w:pPr>
          </w:p>
        </w:tc>
        <w:tc>
          <w:tcPr>
            <w:tcW w:w="128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Fair value measurements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5"/>
                <w:szCs w:val="15"/>
                <w:color w:val="auto"/>
              </w:rPr>
            </w:pPr>
          </w:p>
        </w:tc>
        <w:tc>
          <w:tcPr>
            <w:tcW w:w="98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0" w:type="dxa"/>
            <w:vAlign w:val="bottom"/>
            <w:gridSpan w:val="5"/>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31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98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332,405</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332,405</w:t>
            </w:r>
          </w:p>
        </w:tc>
        <w:tc>
          <w:tcPr>
            <w:tcW w:w="4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24"/>
                <w:szCs w:val="24"/>
                <w:color w:val="auto"/>
              </w:rPr>
            </w:pPr>
          </w:p>
        </w:tc>
        <w:tc>
          <w:tcPr>
            <w:tcW w:w="98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Pr>
          <w:p>
            <w:pPr>
              <w:spacing w:after="0"/>
              <w:rPr>
                <w:sz w:val="12"/>
                <w:szCs w:val="12"/>
                <w:color w:val="auto"/>
              </w:rPr>
            </w:pPr>
          </w:p>
        </w:tc>
        <w:tc>
          <w:tcPr>
            <w:tcW w:w="9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0" w:type="dxa"/>
            <w:vAlign w:val="bottom"/>
            <w:gridSpan w:val="5"/>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31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98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332,093</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332,093</w:t>
            </w:r>
          </w:p>
        </w:tc>
        <w:tc>
          <w:tcPr>
            <w:tcW w:w="4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3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8,710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3,395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9,880</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inventory</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22,190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Inventory comprises commercial instruments, assays, and the materials required to manufacture limited instruments and assays.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Allowance for Credit Losses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Customers are assessed for credit worthiness upfront through a credit review, which includes assessment based on the Company’s analysis of customers’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spacing w:after="0" w:line="187"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presents the allowance for credit losses that is deducted from the amortized cost basis of accounts receivable to present the net amount expected to be collected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6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charged against allowances</w:t>
            </w:r>
          </w:p>
        </w:tc>
        <w:tc>
          <w:tcPr>
            <w:tcW w:w="1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6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Other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purchases</w:t>
            </w:r>
          </w:p>
        </w:tc>
        <w:tc>
          <w:tcPr>
            <w:tcW w:w="1520" w:type="dxa"/>
            <w:vAlign w:val="bottom"/>
            <w:shd w:val="clear" w:color="auto" w:fill="CCEEFF"/>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purchases</w:t>
            </w:r>
          </w:p>
        </w:tc>
        <w:tc>
          <w:tcPr>
            <w:tcW w:w="1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1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0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152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0"/>
        </w:trPr>
        <w:tc>
          <w:tcPr>
            <w:tcW w:w="4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Stock-based compensation expense for all stock awards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10"/>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both the three and six months ended June 30, 2022, the Company incurred approximately $0.7 million of stock-based compensation expense related to the transition of the Company’s former Chief Executive Officer to Executive Chairman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 of June 30, 2022, there was $46.4 million of total unrecognized compensation cost related to unvested restricted stock units (RSUs) and stock options, which is expected to be recognized over the remaining weighted-average vesting period of 2.9 years.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January 28, 2022, the Company executed a lease for 85,800 square feet of office and laboratory space in Bedford, Massachusetts. The lease commencement date was February 1, 2022, when the Company gained access to the underlying facilities. The Company has negotiated a tenant improvement allowance with the landlord which will offset a portion of the Company’s construction costs. The Company has assessed whether improvements made to the premises are landlord-owned or company-owned, with payments made by the Company for landlord-owned assets accounted for as lease incentives. The initial term of the lease’s payment schedule is eight years and nine months beginning on May 1, 2022. The Company has the option to extend the lease for two additional five-year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was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20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 (1)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09"/>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ind w:left="60" w:right="319" w:firstLine="638"/>
        <w:spacing w:after="0" w:line="260" w:lineRule="auto"/>
        <w:tabs>
          <w:tab w:leader="none" w:pos="9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costs and variable lease costs incurred by the Company for the three and six months ended June 30, 2022 were not material.</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balance sheet and cash flow information was as follows (amounts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16"/>
                <w:szCs w:val="16"/>
                <w:color w:val="auto"/>
              </w:rPr>
            </w:pPr>
          </w:p>
        </w:tc>
      </w:tr>
      <w:tr>
        <w:trPr>
          <w:trHeight w:val="199"/>
        </w:trPr>
        <w:tc>
          <w:tcPr>
            <w:tcW w:w="38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CCEEFF"/>
            </w:tcBorders>
          </w:tcPr>
          <w:p>
            <w:pPr>
              <w:spacing w:after="0"/>
              <w:rPr>
                <w:sz w:val="17"/>
                <w:szCs w:val="17"/>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balance sheet information: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9"/>
              </w:rPr>
              <w:t>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760" w:type="dxa"/>
            <w:vAlign w:val="bottom"/>
            <w:shd w:val="clear" w:color="auto" w:fill="CCEEFF"/>
          </w:tcPr>
          <w:p>
            <w:pPr>
              <w:spacing w:after="0"/>
              <w:rPr>
                <w:sz w:val="18"/>
                <w:szCs w:val="18"/>
                <w:color w:val="auto"/>
              </w:rPr>
            </w:pPr>
          </w:p>
        </w:tc>
      </w:tr>
      <w:tr>
        <w:trPr>
          <w:trHeight w:val="297"/>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1,394</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1,683</w:t>
            </w:r>
          </w:p>
        </w:tc>
        <w:tc>
          <w:tcPr>
            <w:tcW w:w="760" w:type="dxa"/>
            <w:vAlign w:val="bottom"/>
          </w:tcPr>
          <w:p>
            <w:pPr>
              <w:spacing w:after="0"/>
              <w:rPr>
                <w:sz w:val="20"/>
                <w:szCs w:val="20"/>
                <w:color w:val="auto"/>
              </w:rPr>
            </w:pPr>
          </w:p>
        </w:tc>
      </w:tr>
    </w:tbl>
    <w:p>
      <w:pPr>
        <w:spacing w:after="0" w:line="287"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Future minimum commitments under the Company’s operating leases in effect as of June 30, 2022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ending June 30,</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9"/>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27,520</w:t>
            </w:r>
          </w:p>
        </w:tc>
      </w:tr>
      <w:tr>
        <w:trPr>
          <w:trHeight w:val="210"/>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62,117</w:t>
            </w:r>
          </w:p>
        </w:tc>
      </w:tr>
      <w:tr>
        <w:trPr>
          <w:trHeight w:val="216"/>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16,286</w:t>
            </w:r>
          </w:p>
        </w:tc>
      </w:tr>
      <w:tr>
        <w:trPr>
          <w:trHeight w:val="210"/>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45,831</w:t>
            </w:r>
          </w:p>
        </w:tc>
      </w:tr>
      <w:tr>
        <w:trPr>
          <w:trHeight w:val="20"/>
        </w:trPr>
        <w:tc>
          <w:tcPr>
            <w:tcW w:w="5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60" w:right="6219" w:hanging="10"/>
        <w:spacing w:after="0" w:line="503" w:lineRule="auto"/>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contingencies</w:t>
      </w: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Collaboration and license arrangements</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certain licenses with other companies for use of the Company’s technology. These licenses have royalty components which the Company earns and recognizes as collaboration and license revenue throughout the year. At both June 30, 2022 and December 31, 2021, the Company had $0.5 million of deferred revenue related to ongoing negotiations with a diagnostics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Abbott Laboratories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29, 2020, the Company entered into a Non-Exclusive License Agreement (the Abbott License Agreement) with Abbott Laboratories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Abbott agreed to pay the Company an initial license fee of $10.0 million in connection with the execution of the Abbott License Agreement, which was recognized as license revenue during the 2020 fiscal year. Abbott has also agreed to pay the Company milestone fees subject to the achievement by Abbott of certain development, regulatory and commercialization milestones and low single-digit royalties on net sales of licensed products.</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Abbott License Agreement includes customary representations and warranties, covenants and indemnification obligations for a transaction of this nature. The Abbott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87"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recognized no revenue under the Abbott License Agreement.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One of the Company’s Directors is affiliated with Harvard University, the Wyss Institute at Harvard and Mass General Brigham. Revenue recorded from sales to Harvard University and its affiliates and to Mass General Brigham and its affiliates totaled $0.1 million and $0.3 million for the three and six months ended June 30, 2022, respectively, and $0.2 million for each of the three and six months ended June 30, 2021. The Company had $0.2 million in accounts receivable from Harvard University and its affiliates and Mass General Brigham and its affiliates at both June 30, 2022 and December 31, 2021. Deferred revenue from Harvard University and its affiliates and Mass General Brigham and its affiliates was $0.1 million at both June 30, 2022 and December 31, 2021.</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May 26, 2022, the Company entered into an agreement with UltraDx Limited (UltraDx agreement), a new company formed by ARCH Venture Partners (ARCH). Pursuant to the UltraDx agreement, the Company will supply HD-X instruments (both fully assembled and disassembled) as well as assays and assay components to UltraDx, and UltraDx has the non-exclusive right to seek Chinese regulatory approval of and to commercialize the HD-X instrument and related assays in the Chinese neurological in vitro diagnostic market. The Company has determined that UltraDx is a related party because one of the Company’s directors is affiliated with ARCH and UltraDx. Pursuant to the terms of the UltraDx agreement, the Company shipped a total of ten fully assembled and disassembled HD-X instruments to UltraDx on June 30, 2022 at a purchase price of approximately $1.9 million. Due to the fact that UltraDx was recently formed during the second quarter of 2022, the Company will recognize revenue on these shipments upon receipt of payment.</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Amounts from other related party relationships are immaterial. Collectively, at June 30, 2022 and December 31, 2021, the Company had no accounts receivable and $18 thousand in accounts receivable, respectively, from these other related parties. In addition, the Company had a total of $20 thousand and $6 thousand in accounts payable at June 30, 2022 and December 31, 2021, respectively, from these other related parties. In the three and six months ended June 30, 2022, the Company recorded cost of product revenue of $11 thousand and $20 thousand, respectively, cost of service and other revenue of $34 thousand and $87 thousand, respectively, research and development of $29 thousand and $61 thousand, respectively, and selling, general, and administrative of $8 thousand and $41 thousand, respectively, from these other related parties. In the three and six months ended June 30, 2021, the Company recorded service revenue of $4 thousand and $24 thousand, respectively, cost of product revenue of $23 thousand and $30 thousand, respectively, cost of service and other revenue of $34 thousand and $51 thousand, respectively, research and development of $40 thousand and $51 thousand, respectively, and selling, general, and administrative of $9 thousand and $23 thousand, respectively, in total from these other related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3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shows the changes in the components of accumulated other comprehensive loss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13"/>
                <w:szCs w:val="13"/>
                <w:color w:val="auto"/>
              </w:rPr>
            </w:pPr>
          </w:p>
        </w:tc>
        <w:tc>
          <w:tcPr>
            <w:tcW w:w="1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7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accumulated other comprehensive loss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(2,644)</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24"/>
                <w:szCs w:val="24"/>
                <w:color w:val="auto"/>
              </w:rPr>
            </w:pPr>
          </w:p>
        </w:tc>
        <w:tc>
          <w:tcPr>
            <w:tcW w:w="17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accumulated other comprehensive loss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Following a strategic review and assessment of the Company’s operations, cost structure and growth opportunities, on August 8, 2022, the Company announced a plan of restructuring and strategic re-alignment, which includes the elimination of approximately 130 positions across the Company and other cost-saving measures (the Restructuring). The Company expects to substantially complete the workforce reduction by the end of the third quarter of 2022. The Company expects to record a charge in the range of $7 million to $10 million in the third quarter of 2022 as a result of the workforce reduction, consisting of one-time termination benefits for employee severance, benefits and related costs, all of which are expected to result in cash expenditures and substantially all of which will be paid out over the next five months. The Company may also implement other cost savings measures as part of the Restructuring and may incur termination and other costs in connection with such measures, which could be material. As part of the Restructuring, the Company is also reviewing its alternatives with respect to additional facility space that it currently leases in Bedford, Massachusetts (see Note 10). These alternatives may include the termination of the lease or the sub-lease of all or a portion of the leased facility. The Company is currently unable to estimate facility-related charges, which could be material.</w:t>
      </w:r>
    </w:p>
    <w:p>
      <w:pPr>
        <w:spacing w:after="0" w:line="17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August 7, 2022, E. Kevin Hrusovsky, Executive Chairman of Quanterix (the Company), entered into a separation agreement and release with the Company, effective as of August 8, 2022, pursuant to which his employment as Executive Chairman of the Company’s Board of Directors (the Board) has ended and he has resigned as a Director on the Board, both effective August 8, 2022. In connection with his resignation, Mr. Hrusovsky will receive severance benefits consistent with the provisions of his employment agreement with the Company, dated as of April 25, 2022. The Company’s current Lead Independent Director, Martin D. Madaus, Ph.D., has been elected to succeed Mr. Hrusovsky as Chairman of the Board, effective as of August 8,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2021, filed with the Securities and Exchange Commission (the SEC) on March 1, 2022.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Item 1A of Part II, “Risk Factors” and “Special Note Regarding Forward-Looking Statements” included elsewhere in this Quarterly Report on Form 10-Q or under “Risk Factors” in Item 1A of Part I of our Annual Report on Form 10-K for the year ended December 31, 2021, filed with the SEC on March 1, 2022, as may be updated by “Part II, Item 1A, Risk Factors” of our subsequently filed Quarterly Reports on Form 10-Q.</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spacing w:after="0" w:line="17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2019, and by the end of 2021, approximately 68% of the HD instrument installed base was HD-X instruments.</w:t>
      </w:r>
    </w:p>
    <w:p>
      <w:pPr>
        <w:spacing w:after="0" w:line="192"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1,800 projects for approximately 430 customers from all over the world using our Simoa platforms.</w:t>
      </w:r>
    </w:p>
    <w:p>
      <w:pPr>
        <w:spacing w:after="0" w:line="180"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including Australia, Brazil, China, Czech Republic, India, Hong Kong, Israel, Japan, New</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Zealand, Qatar, Saudi Arabia, Singapore, South Africa, South Korea, Taiwan, and UAE. In addition, Uman sells Nf-L antibodies and Nf-L ELISA kits directly, and in conjunction with us and another distributor worldwide. We have an extensive base of customers in world class academic and governmental research institutions, as well as pharmaceutical, biotechnology and contract research companies.</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ongoing uncertainty concerning the COVID-19 pandemic, including its length and severity and its effect on our business. In 2020, we saw an impact on instrument revenue due to limitations on our ability to access certain customer sites and complete instrument installations, as well as an impact on consumables revenue from interruptions in certain customer laboratories through the first quarter of 2021. As customers began returning to normal operations in the second quarter of 2021, we have seen less of an impact related to COVID-19 related shutdowns. However, we expect COVID-19 related challenges to continue for the foreseeable future and potentially increase if variants result in new shutdowns.</w:t>
      </w:r>
    </w:p>
    <w:p>
      <w:pPr>
        <w:spacing w:after="0" w:line="189"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The COVID-19 situation remains dynamic, and there remains significant uncertainty as to the length and severity of the pandemic, the actions that may be taken by government authorities, the impact to the businesses of our customers and suppliers, the long-term economic implications and other factors identified in “Part I, Item 1A, Risk Factors” of our Annual Report on Form 10-K for the year ended December 31, 2021, filed with the SEC on March 1, 2022. We will continue to evaluate the nature and extent of the impact to our business, financial condition, and operating results.</w:t>
      </w:r>
    </w:p>
    <w:p>
      <w:pPr>
        <w:spacing w:after="0" w:line="16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we had cash and cash equivalents of $361.3 million. Since inception, we have incurred annual net losses. Our net loss were $57.7 million, $31.5 million, and $40.8 million for the years ended December 31, 2021, 2020, and 2019, respectively, and $43.1 million and $22.0 million for the six months ended June 30, 2022 and 2021, respectively. As of June 30, 2022, we had an accumulated deficit of $348.5 million and stockholders' equity of $405.5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On March 24, 2022, we entered into a contract with the Alzheimer’s Drug Discovery Foundation (ADDF). ADDF is a charitable venture philanthropy entity that has granted us funding in support of certain activities for the development of an in vitro diagnostic (IVD) test for early detection of Alzheimer's disease (ADDF grant). The ADDF grant, which has a total funding value of $2.3 million, restricts our use of the granted funds to be used solely for activities related to the Alzheimer’s diagnostic test development project. Contract funding is subject to achievement of these pre-defined milestones and the contract period runs through June 2024. As of June 30, 2022, we had received $1.3 million out of the full $2.3 million under the ADDF grant. During the three and six months ended June 30, 2022, we recognized $0.1 million in grant revenue and incurred $0.1 million in research and development expense related to the ADDF grant.</w:t>
      </w:r>
    </w:p>
    <w:p>
      <w:pPr>
        <w:spacing w:after="0" w:line="19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the first quarter of 2022, we entered into a Master Collaboration Agreement with Eli Lilly and Company (Lilly) establishing a framework for future projects focused on the development of Simoa immunoassays (the Lilly Collaboration Agreement). We also entered into a Statement of Work under the Lilly Collaboration Agreement to perform assay research and development services within the field of Alzheimer’s disease. In connection with the Lilly Collaboration Agreement, we received a non-refundable up-front payment of $5.0 million during the first quarter of 2022, and under the Statement of Work receive $1.5 million per calendar quarter during 2022, beginning with the three months ended March 31, 2022. The revenue will be recognized over a one-year period.</w:t>
      </w:r>
    </w:p>
    <w:p>
      <w:pPr>
        <w:spacing w:after="0" w:line="18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Concurrent with the execution of the Lilly Collaboration Agreement, we entered into a Technology License Agreement (the Lilly License) under which Lilly granted to us a non-exclusive license to Lilly’s proprietary P-tau217 antibody technology for potential near-term use in research-use-only products and services and future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applications within the field of Alzheimer’s disease. In consideration of the Lilly License, we paid an upfront fee, are required to make milestone payments based on the achievement of predetermined regulatory and commercial events, and will pay a royalty on net sales of licensed products.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concluded that the Lilly Collaboration Agreement and the Lilly License represented a single contract with a customer and are accounting for the agreements as service revenue recognized over time as the services are delivered. The transaction price for the Lilly Collaboration Agreement is $10.9 million. Contingent amounts due to Lilly represent variable consideration payable to a customer and will be recognized as reductions to service revenue up to the amount of the transaction price recognized, when probable. We are utilizing an input method to measure the delivery of services by calculating costs incurred at each period end relative to total costs expected to be incurred.</w:t>
      </w:r>
    </w:p>
    <w:p>
      <w:pPr>
        <w:spacing w:after="0" w:line="18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we recognized approximately $2.7 million and $5.4 million, respectively, of revenue from the Lilly Collaboration Agreement as service revenue.</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September 29, 2020, we entered the Abbott License Agreement with Abbott. Pursuant to the terms of the Abbott License Agreement, we granted Abbott a non-exclusive, worldwide, royalty-bearing license, without the right to sublicense, under our bead-based single molecule detection patents in the field of IVD. Abbott paid an initial license fee of $10.0 million in connection with the execution of the Abbott License Agreement, which was recognized as license revenue for the year ended December 31, 2020. Abbott has also agreed to pay us milestone fees subject to the achievement by Abbott of certain development, regulatory and commercialization milestones and low single digit royalties on net sales of licensed products.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view of the COVID-19 pandemic, in 2020 we began developing a SARS-CoV-2 antibody test (the Antibody Test) and a SARS-CoV-2 antigen test (the Antigen Test) for our HD-X instrument. The U.S. Food and Drug Administration (FDA) issued Emergency Use Authorizations (EUAs) for the Antibody Test and the Antigen Test in December 2020 and January 2021, respectively. In September 2021, FDA expanded the EUA label for the Antigen Test to include testing with nasal swabs and saliva and for asymptomatic serial testing with nasal swab samples. In May 2022, we </w:t>
      </w:r>
      <w:r>
        <w:rPr>
          <w:rFonts w:ascii="Times New Roman" w:cs="Times New Roman" w:eastAsia="Times New Roman" w:hAnsi="Times New Roman"/>
          <w:sz w:val="18"/>
          <w:szCs w:val="18"/>
          <w:color w:val="222222"/>
        </w:rPr>
        <w:t>voluntarily withdrew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the EUA for each of these tests as we no longer intend to market the EUA version of the tests. This decision was </w:t>
      </w:r>
      <w:r>
        <w:rPr>
          <w:rFonts w:ascii="Times New Roman" w:cs="Times New Roman" w:eastAsia="Times New Roman" w:hAnsi="Times New Roman"/>
          <w:sz w:val="18"/>
          <w:szCs w:val="18"/>
          <w:color w:val="000000"/>
        </w:rPr>
        <w:t>made in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recognition of the changing testing dynamics of the COVID-19 pandemic. Our tests are optimized for use in central laboratory testing environments that process samples in high volume. As the health crisis transitions from the pandemic to endemic phase, public health policy has shifted to prioritize more routine use of low-cost, rapid antigen tests. Additionally, a substantial majority of revenue from our COVID-19 test portfolio has been from the RUO-labeled versions of these tests, which </w:t>
      </w:r>
      <w:r>
        <w:rPr>
          <w:rFonts w:ascii="Times New Roman" w:cs="Times New Roman" w:eastAsia="Times New Roman" w:hAnsi="Times New Roman"/>
          <w:sz w:val="18"/>
          <w:szCs w:val="18"/>
          <w:color w:val="222222"/>
        </w:rPr>
        <w:t>continue to be utilized in research and clinical settings. We intend to continue to commercialize the RUO-labeled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tests.</w:t>
      </w:r>
    </w:p>
    <w:p>
      <w:pPr>
        <w:spacing w:after="0" w:line="19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September 2020, we entered into workplan 2 (WP2) with the National Institute of Health (NIH) under the RADx program. This contract, which had a total award value of up to $18.2 million, was intended to accelerate the continued development, scale-up and deployment of the Antigen Test, in particular to expand assay kit manufacturing capacity and commercial deployment readiness. Contract funding was subject to the achievement of pre-defined milestones and the contract period ran through September 2021, with one milestone extended to May 31, 2022. As of June 30, 2022, we have received the full $18.2 million under WP2.</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and Strategic Re-Alignment</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Following a strategic review and assessment of our operations, cost structure and growth opportunities, on August 8, 2022, we announced a plan of restructuring and strategic re-alignment. As part of this plan, we have begun an assay redevelopment program with the ultimate objective of improving our ability to manufacture and deliver high-quality assays at scale. The plan aligns our investments to best serve the needs of customers, focus innovation efforts on key platforms and provide the foundation for our entry into translational pharma and clinical markets, which we believe will be required to access new growth categories. The planned restructuring includes the elimination of approximately 130 positions across the Company and other cost-saving measures (the Restructuring). We expect to substantially complete the workforce reduction by the end of the third quarter of 2022. We expect to record a charge in the range of $7 million to $10 million in the third quarter of 2022 as a result of the workforce reduction, consisting of one-time termination benefits for employee severance, benefits and related costs, all of which are expected to result in cash expenditures and substantially all of which will be paid out over the next five months. Overall, we expect to realize estimated annualized operating expense savings of approximately $25 million. We may also implement other cost savings measures as part of the Restructuring and may incur termination and other costs in connection with such measures, which could be material. As part of the Restructuring, we are also reviewing our alternatives with respect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additional facility space that we currently lease in Bedford, Massachusetts. These alternatives may include the termination of the lease or the sub-lease of all or a portion of the leased facility. We are currently unable to estimate facility-related charges, which could be material.</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Despite the Restructuring, we expect to continue to incur significant expense and operating losses at least through the next 24 months as we</w:t>
      </w:r>
      <w:r>
        <w:rPr>
          <w:rFonts w:ascii="Times New Roman" w:cs="Times New Roman" w:eastAsia="Times New Roman" w:hAnsi="Times New Roman"/>
          <w:sz w:val="18"/>
          <w:szCs w:val="18"/>
          <w:color w:val="0000FF"/>
        </w:rPr>
        <w:t>:</w:t>
      </w:r>
    </w:p>
    <w:p>
      <w:pPr>
        <w:spacing w:after="0" w:line="162" w:lineRule="exact"/>
        <w:rPr>
          <w:sz w:val="20"/>
          <w:szCs w:val="20"/>
          <w:color w:val="auto"/>
        </w:rPr>
      </w:pPr>
    </w:p>
    <w:p>
      <w:pPr>
        <w:ind w:left="1040" w:hanging="315"/>
        <w:spacing w:after="0"/>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Restructuring Plan;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efforts to further commercialize our products;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companies or technologies that may be complementary to our business;</w:t>
      </w:r>
    </w:p>
    <w:p>
      <w:pPr>
        <w:spacing w:after="0" w:line="9" w:lineRule="exact"/>
        <w:rPr>
          <w:rFonts w:ascii="Times New Roman" w:cs="Times New Roman" w:eastAsia="Times New Roman" w:hAnsi="Times New Roman"/>
          <w:sz w:val="18"/>
          <w:szCs w:val="18"/>
          <w:color w:val="auto"/>
        </w:rPr>
      </w:pPr>
    </w:p>
    <w:p>
      <w:pPr>
        <w:jc w:val="both"/>
        <w:ind w:left="1040" w:right="239" w:hanging="315"/>
        <w:spacing w:after="0" w:line="250" w:lineRule="auto"/>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products and develop and launch new products, particularly if any of our products are deemed by FDA to be medical devices or otherwise subject to additional regulation by FDA;</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PMA or 510(k) clearance from FDA for our existing products or new products if or when we decide to market products for use in the prevention, diagnosis or treatment of a disease or other condition;</w:t>
      </w:r>
    </w:p>
    <w:p>
      <w:pPr>
        <w:ind w:left="1020" w:hanging="32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 arrangements or in-license other products and technologies; and</w:t>
      </w:r>
    </w:p>
    <w:p>
      <w:pPr>
        <w:spacing w:after="0" w:line="22"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costs associated with being a public company and our status as a large 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June 30, 2021 (dollars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00" w:type="dxa"/>
            <w:vAlign w:val="bottom"/>
            <w:tcBorders>
              <w:bottom w:val="single" w:sz="8" w:color="auto"/>
            </w:tcBorders>
          </w:tcPr>
          <w:p>
            <w:pPr>
              <w:spacing w:after="0"/>
              <w:rPr>
                <w:sz w:val="15"/>
                <w:szCs w:val="15"/>
                <w:color w:val="auto"/>
              </w:rPr>
            </w:pPr>
          </w:p>
        </w:tc>
      </w:tr>
      <w:tr>
        <w:trPr>
          <w:trHeight w:val="142"/>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60" w:type="dxa"/>
            <w:vAlign w:val="bottom"/>
          </w:tcPr>
          <w:p>
            <w:pPr>
              <w:spacing w:after="0"/>
              <w:rPr>
                <w:sz w:val="12"/>
                <w:szCs w:val="12"/>
                <w:color w:val="auto"/>
              </w:rPr>
            </w:pPr>
          </w:p>
        </w:tc>
        <w:tc>
          <w:tcPr>
            <w:tcW w:w="7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(867)</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20" w:type="dxa"/>
            <w:vAlign w:val="bottom"/>
            <w:gridSpan w:val="2"/>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40" w:type="dxa"/>
            <w:vAlign w:val="bottom"/>
          </w:tcPr>
          <w:p>
            <w:pPr>
              <w:spacing w:after="0"/>
              <w:rPr>
                <w:sz w:val="18"/>
                <w:szCs w:val="18"/>
                <w:color w:val="auto"/>
              </w:rPr>
            </w:pPr>
          </w:p>
        </w:tc>
        <w:tc>
          <w:tcPr>
            <w:tcW w:w="9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9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(2,335)</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00" w:type="dxa"/>
            <w:vAlign w:val="bottom"/>
          </w:tcPr>
          <w:p>
            <w:pPr>
              <w:spacing w:after="0"/>
              <w:rPr>
                <w:sz w:val="18"/>
                <w:szCs w:val="18"/>
                <w:color w:val="auto"/>
              </w:rPr>
            </w:pPr>
          </w:p>
        </w:tc>
        <w:tc>
          <w:tcPr>
            <w:tcW w:w="90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(234)%</w:t>
            </w:r>
          </w:p>
        </w:tc>
      </w:tr>
      <w:tr>
        <w:trPr>
          <w:trHeight w:val="20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379" w:firstLine="648"/>
        <w:spacing w:after="0" w:line="272" w:lineRule="auto"/>
        <w:rPr>
          <w:sz w:val="20"/>
          <w:szCs w:val="20"/>
          <w:color w:val="auto"/>
        </w:rPr>
      </w:pPr>
      <w:r>
        <w:rPr>
          <w:rFonts w:ascii="Times New Roman" w:cs="Times New Roman" w:eastAsia="Times New Roman" w:hAnsi="Times New Roman"/>
          <w:sz w:val="17"/>
          <w:szCs w:val="17"/>
          <w:color w:val="auto"/>
        </w:rPr>
        <w:t>Total revenue decreased $1.9 million, or 7%, to $23.5 million for the three months ended June 30, 2022, as compared to $25.4 million for the three months ended June 30, 2021. Product revenue consisted of sales of instruments totaling $5.6 million and sales of consumables and other products of $9.2 million for the three months ended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Product revenue primarily consisted of instrument sales totaling $5.8 million and sales of consumables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products of $12.8 million for the three months ended June 30, 2021. The decrease in product revenue of $3.9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 the second quarter of 2022 was due mainly to the decrease in consumables and instrument sales year over year, including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decrease in consumables sales to one large customer. Consumable sales decreased due to quality challenges, as well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decreased sales of our Antibody Test year over year. The increase in service and other revenue was primarily due to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$2.7 million of revenue recognized from the Lilly Collaboration Agreement during the three months ended June 30,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collaboration and license revenue during both periods was mainly related to licensing technology and intellectual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For the three months ended June 30, 2022, grant revenue of $0.1 million was related to the ADDF grant.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June 30, 2021, grant revenue of $0.9 million was related to WP2.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Cost of goods sold and services increased $3.3 million, or 29%, to $14.8 million for the three months ended June 30, 2022, as compared to $11.5 million for the three months ended June 30, 2021. We performed an evaluation of our business during the second quarter of 2022, during which we determined that certain functions were spending a higher percentage of their time on quality and other activities associated with cost of goods sold. Our ongoing efforts to address manufacturing and quality challenges resulted in an increase of $1.7 million charged to cost of goods sold with a corresponding $1.7 million reduction in operating expense. We expect these expenses to continue until the quality challenges are resolved. The remainder of the increase in cost of goods sold was primarily due to inefficiencies in our manufacturing process, reducing productivity and resulting in decreased absorption costs benefit during the second quarter of 2022. Overall, cost of goods sold and services as a percentage of revenue increased to 63% of total revenue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 xml:space="preserve">the three months ended June 30, 2022, as compared to 45% for the three months ended June 30, 2021, for the reasons described above, </w:t>
      </w:r>
      <w:r>
        <w:rPr>
          <w:rFonts w:ascii="Times New Roman" w:cs="Times New Roman" w:eastAsia="Times New Roman" w:hAnsi="Times New Roman"/>
          <w:sz w:val="17"/>
          <w:szCs w:val="17"/>
          <w:color w:val="202124"/>
        </w:rPr>
        <w:t>the impact of decreased consumables sales within our product mix, and the overall decrease in revenue.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$0.1 million, or 2%, for the three months ended June 30, 2022, as compared to the same period in 2021, primarily due to efforts to address manufacturing and quality control challenges, partially offset by additional headcount in research and development.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$6.3 million, or 30%, for the three months ended June 30, 2022, as compared to the same period in 2021, mainly due to additional headcount driving increased cash compensation expense and stock-based compensation expense. During the three months ended June 30, 2022, we incurred approximately $0.7 million of stock-based compensation expense related to the transition of our former Chief Executive Officer to Executive Chairman. Rent expense increased for the three months ended June 30, 2022 due to the new lease facility in Bedford, Massachusetts that commenced on February 1, 2022 when we gained access to the underlying facilities.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Interest income (expense), net was income of $0.6 million for the three months ended June 30, 2022, as compared to an expense of $0.2 million in the same period in 2021, due to the maturity of our note payable in the fourth quarter of 2021 and higher interest income on our cash equivalents during the three months ended June 30,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Other (expense) income, net was an expense of $0.4 million for the three months ended June 30, 2022, as compared to income of $2.0 million in the same period in 2021. Other expense, net for the three months ended June 30, 2022, mainly consisted of the impact of foreign currency exchange rates. Other income, net for the three months ended June 30, 2021 was mainly due to a $2.1 million employee retention tax credit established under the Coronavirus Aid, Relief, and Economic Securities Act (CARES Act).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Income tax provision was $0.1 million for the three months ended June 30, 2022, and less than $0.1 million for the three months ended June 30, 2021, consisting primarily of provisions recorded on the operating results of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June 30, 2021 (dollars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00" w:type="dxa"/>
            <w:vAlign w:val="bottom"/>
            <w:tcBorders>
              <w:bottom w:val="single" w:sz="8" w:color="auto"/>
            </w:tcBorders>
          </w:tcPr>
          <w:p>
            <w:pPr>
              <w:spacing w:after="0"/>
              <w:rPr>
                <w:sz w:val="15"/>
                <w:szCs w:val="15"/>
                <w:color w:val="auto"/>
              </w:rPr>
            </w:pPr>
          </w:p>
        </w:tc>
      </w:tr>
      <w:tr>
        <w:trPr>
          <w:trHeight w:val="142"/>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60" w:type="dxa"/>
            <w:vAlign w:val="bottom"/>
          </w:tcPr>
          <w:p>
            <w:pPr>
              <w:spacing w:after="0"/>
              <w:rPr>
                <w:sz w:val="12"/>
                <w:szCs w:val="12"/>
                <w:color w:val="auto"/>
              </w:rPr>
            </w:pPr>
          </w:p>
        </w:tc>
        <w:tc>
          <w:tcPr>
            <w:tcW w:w="7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(3,158)</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3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goods sold and services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23,270</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gridSpan w:val="2"/>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0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0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(2,358)</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r>
      <w:tr>
        <w:trPr>
          <w:trHeight w:val="20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(43,117)</w:t>
            </w:r>
          </w:p>
        </w:tc>
        <w:tc>
          <w:tcPr>
            <w:tcW w:w="10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100" w:type="dxa"/>
            <w:vAlign w:val="bottom"/>
          </w:tcPr>
          <w:p>
            <w:pPr>
              <w:spacing w:after="0"/>
              <w:rPr>
                <w:sz w:val="18"/>
                <w:szCs w:val="18"/>
                <w:color w:val="auto"/>
              </w:rPr>
            </w:pPr>
          </w:p>
        </w:tc>
        <w:tc>
          <w:tcPr>
            <w:tcW w:w="90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6,100 %</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Total revenue was $53.1 million for the six months ended June 30, 2022, as compared to $52.6 million for the six months ended June 30, 2021, an increase of $0.5 million, or 1%. Product revenue consisted of sales of instruments totaling $11.8 million and sales of consumables and other products of $23.6 million for the six months ended June 30, 2022.</w:t>
      </w:r>
    </w:p>
    <w:p>
      <w:pPr>
        <w:spacing w:after="0" w:line="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Product revenue primarily consisted of instrument sales totaling $12.8 million and sales of consumables and other products of $24.1 million for the six months ended June 30, 2021. The decrease in product revenue of $1.5 million in the first half of 2022 was due to decreases in both consumables and instrument sales year over year. The decrease in consumables sales was primarily due to quality challenges, including a decrease in consumables sales to one large customer. The increase in service and other revenue was primarily due to the $5.4 million of revenue recognized from the Lilly Collaboration Agreement during the first half of 2022. Our collaboration and license revenue during both periods was mainly related to licensing technology and intellectual property. For the six months ended June 30, 2022, grant revenue of $0.1 million was related to the ADDF grant. For the six months ended June 30, 2021, grant revenue of $3.2 million was related to WP2.</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goods sold and services increased $7.4 million, or 33%, to $29.8 million for the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as compared to $22.4 million for the six months ended June 30, 2021. We performed an evaluation of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business during the second quarter of 2022, during which we determined that certain functions were spending a higher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of their time on quality and other activities associated with cost of goods sold. Our ongoing efforts to address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manufacturing and quality challenges resulted in an increase of $1.7 million charged to cost of goods sold in the three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months and six months ended June 30, 2022 with a corresponding $1.7 million reduction in operating expense. We expect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expenses to continue until the quality challenges are resolved. The remainder of the increase of cost of goods sold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 primarily due to inefficiencies in our manufacturing and inventory management processes resulting in higher excess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obsolete product during the six months ended June 30, 2022, as well as reduced productivity resulting in decreased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absorption costs benefit during the first half of 2022. In response to the inefficiencies in our inventory management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processes, we changed our estimate for excess and obsolete product during the three months ended March 31,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increasing our inventory reserve. Overall, cost of goods sold as a percentage of revenue increased to 56%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 xml:space="preserve">total revenue for the six months ended June 30, 2022, as compared to 43% for the six months ended June 30, 2021, for the reasons described above, as well as </w:t>
      </w:r>
      <w:r>
        <w:rPr>
          <w:rFonts w:ascii="Times New Roman" w:cs="Times New Roman" w:eastAsia="Times New Roman" w:hAnsi="Times New Roman"/>
          <w:sz w:val="18"/>
          <w:szCs w:val="18"/>
          <w:color w:val="202124"/>
        </w:rPr>
        <w:t>the impact of decreased consumables sales within our product mix.</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$0.2 million, or 2%, for the six months ended June 30, 2022, as compared to the same period in 2021, primarily due to additional headcount in research and development.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$12.5 million, or 31%, for the six months ended June 30, 2022, as compared to the same period in 2021, mainly due to additional headcount driving increased cash compensation expense, stock-based compensation expense, and other general and administrative expenses. Rent expense increased for the six months ended June 30, 2022 due to the new lease facility in Bedford, Massachusetts that commenced on February 1, 2022 when we gained access to the underlying facilities.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Interest income (expense), net was income of $0.6 million in the six months ended June 30, 2022, as compared to an expense of $0.3 million in the same period in 2021, due to the maturity of our note payable in the fourth quarter of 2021 and higher interest income on our cash equivalents during the first half of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was an expense of $0.6 million in the six months ended June 30, 2022, as compared to income of $1.8 million in the same period in 2021 Other expense, net for the first half of 2022 was mainly due to the impact of foreign currency exchange rates. Other income, net for the first half of 2021 was mainly due to a $2.1 million employee retention tax credit established under the CARES Act.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benefit was less than $0.1 million for each of the six months ended June 30, 2022, and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equity offerings, borrowings from credit facilities and revenue from our commercial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cash flows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275,706</w:t>
            </w:r>
          </w:p>
        </w:tc>
      </w:tr>
      <w:tr>
        <w:trPr>
          <w:trHeight w:val="20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(34,379)</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249,739</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invest in process improvements. We have historically experienced negative cash flows from operating activities as we have developed our technology, expanded our business and built our infrastructure and this may continue in the future.</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$29.6 million during the six months ended June 30, 2022. The net cash used in operating activities primarily consisted of the net loss of $43.1 million offset by non-cash charges of $9.0 million of stock-based compensation expense, $2.8 million of depreciation and amortization expense, and $1.4 million received on the tenant improvement allowance associated with our new lease facility in Bedford, Massachusetts.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$23.8 million during the six months ended June 30, 2021. The net cash used in operating activities primarily consisted of the net loss of $22.0 million offset by non-cash charges of $7.0 million of stock-based compensation expense and $2.3 million of depreciation and amortization expense. Cash used as a result of changes in operating assets and liabilities of $11.8 million was primarily due to an increase in inventory of $6.8 million, a decrease in accrued compensation and benefits, other accrued expenses and other current liabilities of $3.9 million, and an increase in prepaid expenses and other assets of $3.0 million, offset by a decrease in accounts receivable of $1.7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7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used $5.9 million of cash during the six months ended June 30, 2022 primarily related to purchases of property and equipment for the new leased facility in Bedford, Massachusetts.</w:t>
      </w:r>
    </w:p>
    <w:p>
      <w:pPr>
        <w:spacing w:after="0" w:line="16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used $2.1 million of cash during the six months ended June 30, 2021, primarily related to $7.3 million in purchases of property and equipment, offset by $5.2 million in grant proceeds related to WP2.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sales of our stock, borrowings from credit facilities, and revenues from our commercial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Financing activities provided $1.2 million of cash during the six months ended June 30, 2022, from proceeds from employee stock purchases and stock option exercises.</w:t>
      </w:r>
    </w:p>
    <w:p>
      <w:pPr>
        <w:spacing w:after="0" w:line="162"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$275.7 million of cash during the six months ended June 30, 2021, primarily from $269.7 million in net proceeds from our underwritten public offering during the first quarter of 2021, and $5.5 million in proceeds from common stock option exercises.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7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annual net losses. Additionally, as a public company, we have incurred and will continue to incur significant audit, legal and other expenses. Our liquidity requirements have historically consisted, and we expect that they will continue to consist, of sales and marketing expenses, research and development expenses, working capital, debt service and general corporate expenses.</w:t>
      </w:r>
    </w:p>
    <w:p>
      <w:pPr>
        <w:spacing w:after="0" w:line="22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believe cash generated from commercial sales, our current cash and cash equivalents, and interest income we earn on these balances will be sufficient to meet our anticipated operating cash requirements for at least the next 12 months.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Part II, Item 1A. “Risk Factors”, of this Quarterly Report on Form 10-Q, Item 1A, “Risk Factors” of our Annual Report on Form 10-K for the year ended December 31, 2021, filed with the SEC on March 1, 2022. We have based our estimates on assumptions that may prove to be wrong and we could utilize our available capital resources sooner than we currently expect. Our future funding requirements will depend on many factors, including:</w:t>
      </w:r>
    </w:p>
    <w:p>
      <w:pPr>
        <w:spacing w:after="0" w:line="221" w:lineRule="exact"/>
        <w:rPr>
          <w:sz w:val="20"/>
          <w:szCs w:val="20"/>
          <w:color w:val="auto"/>
        </w:rPr>
      </w:pPr>
    </w:p>
    <w:p>
      <w:pPr>
        <w:ind w:left="1380" w:hanging="655"/>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and realize the intended benefits of the Restructuring;</w:t>
      </w:r>
    </w:p>
    <w:p>
      <w:pPr>
        <w:spacing w:after="0" w:line="27"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sales, marketing and distribution capabilities;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collaborations in the future, and the success of any such collaborations;</w:t>
      </w:r>
    </w:p>
    <w:p>
      <w:pPr>
        <w:spacing w:after="0" w:line="9" w:lineRule="exact"/>
        <w:rPr>
          <w:rFonts w:ascii="Times New Roman" w:cs="Times New Roman" w:eastAsia="Times New Roman" w:hAnsi="Times New Roman"/>
          <w:sz w:val="18"/>
          <w:szCs w:val="18"/>
          <w:color w:val="auto"/>
        </w:rPr>
      </w:pPr>
    </w:p>
    <w:p>
      <w:pPr>
        <w:ind w:left="1380" w:right="179" w:hanging="655"/>
        <w:spacing w:after="0" w:line="250"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potential regulatory clearances or approvals that may be required in the future for our products;</w:t>
      </w:r>
    </w:p>
    <w:p>
      <w:pPr>
        <w:ind w:left="1380" w:hanging="655"/>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and</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0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If the conditions for raising capital are favorable, we may seek to finance future cash needs through public or private equity or debt offerings or other financings. On November 6, 2020, we filed an automatically effective shelf registration statement with the SEC. Each issuance of securities under the shelf registration statement will require the filing of a prospectus supplement identifying the amount and terms of securities to be issued. The registration statement does not limit the amount of securities that may be issued thereunder. Our ability to issue securities is subject to market conditions and other factors. This registration statement will expire on November 6, 2023, three years after its date of effectiveness. However,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As of June 30, 2022, except for the Bedford, Massachusetts lease detailed in Note 10 to our unaudited condensed consolidated financial statements, there have been no material changes to our contractual obligations and commitments from those described under “Management’s Discussion and Analysis of Financial Condition and Results of Operations” included in our Annual Report on Form 10-K for the year ended December 31, 2021 filed with the SEC on March 1,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Significant Judgments and Estimates</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valuation of inventory.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7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2021, filed with the SEC on March 1, 2022.</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disclosed therein.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Information concerning recently issued accounting pronouncements may be found in Note 2 to our unaudited condensed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At June 30, 2022, there have been no material changes to the market risk information, except for concentrations noted below, described under “Quantitative and Qualitative Disclosures About Market Risk” included in the Annual Report on Form 10-K for the year ended December 31, 2021.</w:t>
      </w:r>
    </w:p>
    <w:p>
      <w:pPr>
        <w:spacing w:after="0" w:line="1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For each of the three and six months ended June 30, 2022, there was one customer that accounted for 18% of our total revenue.</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June 30, 2022. The term “disclosure controls and procedures,” as defined in Rules 13a-15(e) and 15d-15(e) under the Securities and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w:t>
      </w:r>
    </w:p>
    <w:p>
      <w:pPr>
        <w:spacing w:after="0" w:line="183"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2022, our principal executive officer and principal financial officer concluded that, as of such date, the Company’s disclosure controls and procedures were effective at the reasonable assurance level.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six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Annual Report on Form 10-K for the year ended December 31, 2021, filed with the SEC on March 1, 2022, except for the addition of the following risk factor:</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achieve the expected cost savings and related benefits from our Restructuring and Re-alignment Plan.</w:t>
      </w:r>
    </w:p>
    <w:p>
      <w:pPr>
        <w:spacing w:after="0" w:line="12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August 2022, we announced a plan of restructuring and strategic re-alignment, which includes the elimination of approximately 130 current positions, or 25% of our workforce and other cost-savings measures (Restructuring). We expect to incur expenses of approximately $7 million to $10 million related to the Restructuring, substantially all of which will be cash expenditures for severance and other costs relating to the Restructuring through the third and fourth quarter of 2022.</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Overall, we expect to realize estimated annualized operating expense savings of approximately $25 million. These estimates are subject to a number of assumptions, and actual results may differ. There is no guarantee that the Restructuring will achieve its intended benefits. For example, our cost restructuring and business re-alignment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make it more difficult to attract and retain qualified personnel, each of which could have an adverse effect on our business. We may implement other cost savings measures as part of the Restructuring, and may incur termination and other costs in connection with such measures, which could be material. As part of the Restructuring, we are also reviewing our alternatives with respect to additional facility space that we currently lease in Bedford, Massachusetts. These alternatives may include the termination of the lease or the sub-lease of all or a portion of the leased facility. We are currently unable to estimate facility-related charges, which may be material.</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fail to effectively execute on the Restructuring. The Restructuring may cause disruption to our business operations. For example, the Restructuring will result in the loss of a number of long-term employees, may result in the loss of institutional knowledge and expertise and the reallocation and combination of certain of roles and responsibilities across our organization, all of which could adversely affect our operations. In addition, we may not be able to effectively realize all the cost savings anticipated by the Restructuring and we may incur unanticipated charges or make cash payments that were not previously contemplated, which could result in an adverse effect on our business or results of operations. In connection with the Restructuring, we have set in motion an assay improvement program with the ultimate objective of improving our ability to manufacture and deliver high-quality assays at scale. We expect to make initial progress toward this initiative in 2022 and that the program will be completed in 2023. We may be unable to obtain the anticipated product and quality-related benefits from these efforts in the timeframe anticipated, or at all, which could have an adverse effect on our business.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 herein</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1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vMerge w:val="restart"/>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from</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40" w:type="dxa"/>
            <w:vAlign w:val="bottom"/>
            <w:vMerge w:val="restart"/>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37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Certificate of Incorporation.</w:t>
              </w:r>
            </w:hyperlink>
          </w:p>
        </w:tc>
        <w:tc>
          <w:tcPr>
            <w:tcW w:w="14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12/15/2017</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Restated Bylaws.</w:t>
              </w:r>
            </w:hyperlink>
          </w:p>
        </w:tc>
        <w:tc>
          <w:tcPr>
            <w:tcW w:w="2620" w:type="dxa"/>
            <w:vAlign w:val="bottom"/>
            <w:gridSpan w:val="14"/>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12/15/2017</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3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Amended and Restated Employment Agreement</w:t>
              </w:r>
            </w:hyperlink>
          </w:p>
        </w:tc>
        <w:tc>
          <w:tcPr>
            <w:tcW w:w="38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4/29/2022</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between Masoud Toloue and the Company dated</w:t>
              </w:r>
            </w:hyperlink>
          </w:p>
        </w:tc>
        <w:tc>
          <w:tcPr>
            <w:tcW w:w="360" w:type="dxa"/>
            <w:vAlign w:val="bottom"/>
            <w:gridSpan w:val="6"/>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April 25, 2022.</w:t>
              </w:r>
            </w:hyperlink>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3880" w:type="dxa"/>
            <w:vAlign w:val="bottom"/>
            <w:gridSpan w:val="17"/>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Amended and Restated Employment Agreement</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4/29/2022</w:t>
            </w:r>
          </w:p>
        </w:tc>
        <w:tc>
          <w:tcPr>
            <w:tcW w:w="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between E. Kevin Hrusovsky and the Company</w:t>
              </w:r>
            </w:hyperlink>
          </w:p>
        </w:tc>
        <w:tc>
          <w:tcPr>
            <w:tcW w:w="400" w:type="dxa"/>
            <w:vAlign w:val="bottom"/>
            <w:gridSpan w:val="8"/>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dated April 25, 2022.</w:t>
              </w:r>
            </w:hyperlink>
          </w:p>
        </w:tc>
        <w:tc>
          <w:tcPr>
            <w:tcW w:w="1880" w:type="dxa"/>
            <w:vAlign w:val="bottom"/>
            <w:tcBorders>
              <w:top w:val="single" w:sz="8" w:color="0000EE"/>
            </w:tcBorders>
            <w:gridSpan w:val="4"/>
          </w:tcPr>
          <w:p>
            <w:pPr>
              <w:spacing w:after="0"/>
              <w:rPr>
                <w:sz w:val="19"/>
                <w:szCs w:val="19"/>
                <w:color w:val="auto"/>
              </w:rPr>
            </w:pPr>
          </w:p>
        </w:tc>
        <w:tc>
          <w:tcPr>
            <w:tcW w:w="460" w:type="dxa"/>
            <w:vAlign w:val="bottom"/>
            <w:gridSpan w:val="9"/>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3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w:t>
            </w:r>
          </w:p>
        </w:tc>
        <w:tc>
          <w:tcPr>
            <w:tcW w:w="480" w:type="dxa"/>
            <w:vAlign w:val="bottom"/>
            <w:gridSpan w:val="10"/>
          </w:tcPr>
          <w:p>
            <w:pPr>
              <w:spacing w:after="0"/>
              <w:rPr>
                <w:sz w:val="24"/>
                <w:szCs w:val="2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of 2002.</w:t>
            </w:r>
          </w:p>
        </w:tc>
        <w:tc>
          <w:tcPr>
            <w:tcW w:w="22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pursuant to Section 302 of the Sarbanes-Oxley Act</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of 2002.</w:t>
            </w:r>
          </w:p>
        </w:tc>
        <w:tc>
          <w:tcPr>
            <w:tcW w:w="22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and</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Principal Financial Officer pursuant to Section 906</w:t>
            </w:r>
          </w:p>
        </w:tc>
        <w:tc>
          <w:tcPr>
            <w:tcW w:w="80" w:type="dxa"/>
            <w:vAlign w:val="bottom"/>
            <w:tcBorders>
              <w:top w:val="single" w:sz="8" w:color="0000EE"/>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of the Sarbanes-Oxley Act of 2002.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3"/>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gridSpan w:val="12"/>
          </w:tcPr>
          <w:p>
            <w:pPr>
              <w:ind w:left="340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564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2022</w:t>
            </w:r>
          </w:p>
        </w:tc>
        <w:tc>
          <w:tcPr>
            <w:tcW w:w="56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Masoud Toloue</w:t>
            </w:r>
          </w:p>
        </w:tc>
      </w:tr>
      <w:tr>
        <w:trPr>
          <w:trHeight w:val="191"/>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2022</w:t>
            </w:r>
          </w:p>
        </w:tc>
        <w:tc>
          <w:tcPr>
            <w:tcW w:w="56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Michael A. Doyle</w:t>
            </w:r>
          </w:p>
        </w:tc>
      </w:tr>
      <w:tr>
        <w:trPr>
          <w:trHeight w:val="191"/>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A. Doyle</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Masoud Toloue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Doyle, certify that:</w:t>
      </w:r>
    </w:p>
    <w:p>
      <w:pPr>
        <w:spacing w:after="0" w:line="225"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 Doyle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June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August 8,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Masoud Toloue</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August 8,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Doyle</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 Doyle</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57" Type="http://schemas.openxmlformats.org/officeDocument/2006/relationships/hyperlink" Target="https://www.sec.gov/Archives/edgar/data/1503274/000110465917073618/a17-28479_1ex3d1.htm#Exhibit3_1_115216" TargetMode="External"/><Relationship Id="rId58" Type="http://schemas.openxmlformats.org/officeDocument/2006/relationships/hyperlink" Target="https://www.sec.gov/Archives/edgar/data/1503274/000110465917073618/a17-28479_1ex3d2.htm#Exhibit3_2_120749" TargetMode="External"/><Relationship Id="rId59" Type="http://schemas.openxmlformats.org/officeDocument/2006/relationships/hyperlink" Target="https://www.sec.gov/Archives/edgar/data/1503274/000110465922053529/tm2213874d2_ex10-1.htm" TargetMode="External"/><Relationship Id="rId60" Type="http://schemas.openxmlformats.org/officeDocument/2006/relationships/hyperlink" Target="https://www.sec.gov/Archives/edgar/data/1503274/000110465922053529/tm2213874d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2022-08-09T03:29:47Z</dcterms:created>
  <dcterms:modified xsi:type="dcterms:W3CDTF">2022-08-09T03:29:47Z</dcterms:modified>
</cp:coreProperties>
</file>