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92710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4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40" w:hanging="329"/>
        <w:spacing w:after="0" w:line="243" w:lineRule="auto"/>
        <w:tabs>
          <w:tab w:leader="none" w:pos="5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340" w:hanging="329"/>
        <w:spacing w:after="0" w:line="256" w:lineRule="auto"/>
        <w:tabs>
          <w:tab w:leader="none" w:pos="5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440"/>
        <w:spacing w:after="0"/>
        <w:tabs>
          <w:tab w:leader="none" w:pos="6280" w:val="left"/>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0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85725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73025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4740" w:type="dxa"/>
            <w:vAlign w:val="bottom"/>
          </w:tcPr>
          <w:p>
            <w:pPr>
              <w:jc w:val="center"/>
              <w:ind w:right="1197"/>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jc w:val="center"/>
              <w:ind w:left="1214"/>
              <w:spacing w:after="0" w:line="207" w:lineRule="exact"/>
              <w:rPr>
                <w:sz w:val="20"/>
                <w:szCs w:val="20"/>
                <w:color w:val="auto"/>
              </w:rPr>
            </w:pPr>
            <w:r>
              <w:rPr>
                <w:rFonts w:ascii="Arial" w:cs="Arial" w:eastAsia="Arial" w:hAnsi="Arial"/>
                <w:sz w:val="18"/>
                <w:szCs w:val="18"/>
                <w:b w:val="1"/>
                <w:bCs w:val="1"/>
                <w:color w:val="auto"/>
                <w:w w:val="89"/>
              </w:rPr>
              <w:t>20</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8957988</w:t>
            </w:r>
          </w:p>
        </w:tc>
      </w:tr>
      <w:tr>
        <w:trPr>
          <w:trHeight w:val="182"/>
        </w:trPr>
        <w:tc>
          <w:tcPr>
            <w:tcW w:w="4740" w:type="dxa"/>
            <w:vAlign w:val="bottom"/>
          </w:tcPr>
          <w:p>
            <w:pPr>
              <w:jc w:val="center"/>
              <w:ind w:right="121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80" w:type="dxa"/>
            <w:vAlign w:val="bottom"/>
          </w:tcPr>
          <w:p>
            <w:pPr>
              <w:jc w:val="center"/>
              <w:ind w:left="1214"/>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40" w:type="dxa"/>
            <w:vAlign w:val="bottom"/>
          </w:tcPr>
          <w:p>
            <w:pPr>
              <w:jc w:val="center"/>
              <w:ind w:right="1197"/>
              <w:spacing w:after="0"/>
              <w:rPr>
                <w:sz w:val="20"/>
                <w:szCs w:val="20"/>
                <w:color w:val="auto"/>
              </w:rPr>
            </w:pPr>
            <w:r>
              <w:rPr>
                <w:rFonts w:ascii="Arial" w:cs="Arial" w:eastAsia="Arial" w:hAnsi="Arial"/>
                <w:sz w:val="18"/>
                <w:szCs w:val="18"/>
                <w:b w:val="1"/>
                <w:bCs w:val="1"/>
                <w:color w:val="auto"/>
                <w:w w:val="91"/>
              </w:rPr>
              <w:t>900 Middlesex Turnpike</w:t>
            </w:r>
          </w:p>
        </w:tc>
        <w:tc>
          <w:tcPr>
            <w:tcW w:w="3280" w:type="dxa"/>
            <w:vAlign w:val="bottom"/>
          </w:tcPr>
          <w:p>
            <w:pPr>
              <w:spacing w:after="0"/>
              <w:rPr>
                <w:sz w:val="24"/>
                <w:szCs w:val="24"/>
                <w:color w:val="auto"/>
              </w:rPr>
            </w:pPr>
          </w:p>
        </w:tc>
      </w:tr>
      <w:tr>
        <w:trPr>
          <w:trHeight w:val="216"/>
        </w:trPr>
        <w:tc>
          <w:tcPr>
            <w:tcW w:w="4740" w:type="dxa"/>
            <w:vAlign w:val="bottom"/>
          </w:tcPr>
          <w:p>
            <w:pPr>
              <w:jc w:val="center"/>
              <w:ind w:right="1217"/>
              <w:spacing w:after="0"/>
              <w:rPr>
                <w:sz w:val="20"/>
                <w:szCs w:val="20"/>
                <w:color w:val="auto"/>
              </w:rPr>
            </w:pPr>
            <w:r>
              <w:rPr>
                <w:rFonts w:ascii="Arial" w:cs="Arial" w:eastAsia="Arial" w:hAnsi="Arial"/>
                <w:sz w:val="18"/>
                <w:szCs w:val="18"/>
                <w:b w:val="1"/>
                <w:bCs w:val="1"/>
                <w:color w:val="auto"/>
                <w:w w:val="96"/>
              </w:rPr>
              <w:t>Billerica, MA</w:t>
            </w:r>
          </w:p>
        </w:tc>
        <w:tc>
          <w:tcPr>
            <w:tcW w:w="3280" w:type="dxa"/>
            <w:vAlign w:val="bottom"/>
          </w:tcPr>
          <w:p>
            <w:pPr>
              <w:jc w:val="right"/>
              <w:ind w:right="674"/>
              <w:spacing w:after="0"/>
              <w:rPr>
                <w:sz w:val="20"/>
                <w:szCs w:val="20"/>
                <w:color w:val="auto"/>
              </w:rPr>
            </w:pPr>
            <w:r>
              <w:rPr>
                <w:rFonts w:ascii="Arial" w:cs="Arial" w:eastAsia="Arial" w:hAnsi="Arial"/>
                <w:sz w:val="18"/>
                <w:szCs w:val="18"/>
                <w:b w:val="1"/>
                <w:bCs w:val="1"/>
                <w:color w:val="auto"/>
              </w:rPr>
              <w:t>01821</w:t>
            </w:r>
          </w:p>
        </w:tc>
      </w:tr>
      <w:tr>
        <w:trPr>
          <w:trHeight w:val="235"/>
        </w:trPr>
        <w:tc>
          <w:tcPr>
            <w:tcW w:w="4740" w:type="dxa"/>
            <w:vAlign w:val="bottom"/>
          </w:tcPr>
          <w:p>
            <w:pPr>
              <w:jc w:val="center"/>
              <w:ind w:right="1217"/>
              <w:spacing w:after="0"/>
              <w:rPr>
                <w:sz w:val="20"/>
                <w:szCs w:val="20"/>
                <w:color w:val="auto"/>
              </w:rPr>
            </w:pPr>
            <w:r>
              <w:rPr>
                <w:rFonts w:ascii="Arial" w:cs="Arial" w:eastAsia="Arial" w:hAnsi="Arial"/>
                <w:sz w:val="14"/>
                <w:szCs w:val="14"/>
                <w:color w:val="auto"/>
                <w:w w:val="95"/>
              </w:rPr>
              <w:t>(Address of principal executive offices)</w:t>
            </w:r>
          </w:p>
        </w:tc>
        <w:tc>
          <w:tcPr>
            <w:tcW w:w="3280" w:type="dxa"/>
            <w:vAlign w:val="bottom"/>
          </w:tcPr>
          <w:p>
            <w:pPr>
              <w:jc w:val="center"/>
              <w:ind w:left="1214"/>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 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85725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8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4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07" w:lineRule="exact"/>
        <w:tabs>
          <w:tab w:leader="none" w:pos="5080" w:val="left"/>
          <w:tab w:leader="none" w:pos="5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left="20" w:right="1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20" w:right="40"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right"/>
        <w:ind w:left="20" w:right="1120"/>
        <w:spacing w:after="0" w:line="301"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October 31, 2019, the registrant had 28,014,764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412"/>
        </w:trPr>
        <w:tc>
          <w:tcPr>
            <w:tcW w:w="86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16"/>
          </w:tcPr>
          <w:p>
            <w:pPr>
              <w:jc w:val="center"/>
              <w:ind w:right="27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80" w:type="dxa"/>
            <w:vAlign w:val="bottom"/>
          </w:tcPr>
          <w:p>
            <w:pPr>
              <w:spacing w:after="0"/>
              <w:rPr>
                <w:sz w:val="24"/>
                <w:szCs w:val="24"/>
                <w:color w:val="auto"/>
              </w:rPr>
            </w:pPr>
          </w:p>
        </w:tc>
      </w:tr>
      <w:tr>
        <w:trPr>
          <w:trHeight w:val="412"/>
        </w:trPr>
        <w:tc>
          <w:tcPr>
            <w:tcW w:w="270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3240" w:type="dxa"/>
            <w:vAlign w:val="bottom"/>
            <w:tcBorders>
              <w:top w:val="single" w:sz="8" w:color="0000EE"/>
            </w:tcBorders>
            <w:gridSpan w:val="9"/>
          </w:tcPr>
          <w:p>
            <w:pPr>
              <w:spacing w:after="0"/>
              <w:rPr>
                <w:sz w:val="24"/>
                <w:szCs w:val="24"/>
                <w:color w:val="auto"/>
              </w:rPr>
            </w:pPr>
          </w:p>
        </w:tc>
        <w:tc>
          <w:tcPr>
            <w:tcW w:w="274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240" w:type="dxa"/>
            <w:vAlign w:val="bottom"/>
            <w:gridSpan w:val="2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at September 30, 2019 and December 31, 2018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 and Nine Months Ended September</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2019 and 2018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240" w:type="dxa"/>
            <w:vAlign w:val="bottom"/>
            <w:gridSpan w:val="26"/>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Comprehensive Loss for the Three and Nine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September 30, 2019 and 2018</w:t>
              </w:r>
            </w:hyperlink>
          </w:p>
        </w:tc>
        <w:tc>
          <w:tcPr>
            <w:tcW w:w="5580" w:type="dxa"/>
            <w:vAlign w:val="bottom"/>
            <w:tcBorders>
              <w:top w:val="single" w:sz="8" w:color="0000EE"/>
            </w:tcBorders>
            <w:gridSpan w:val="11"/>
          </w:tcPr>
          <w:p>
            <w:pPr>
              <w:spacing w:after="0"/>
              <w:rPr>
                <w:sz w:val="17"/>
                <w:szCs w:val="17"/>
                <w:color w:val="auto"/>
              </w:rPr>
            </w:pPr>
          </w:p>
        </w:tc>
        <w:tc>
          <w:tcPr>
            <w:tcW w:w="2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0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Nine Months Ended September 30, 2019</w:t>
              </w:r>
            </w:hyperlink>
          </w:p>
        </w:tc>
        <w:tc>
          <w:tcPr>
            <w:tcW w:w="2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9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Unaudited Condensed Consolidated Statements of Stockholders’ Equity for the Three and Nine Months Ended</w:t>
              </w:r>
            </w:hyperlink>
          </w:p>
        </w:tc>
        <w:tc>
          <w:tcPr>
            <w:tcW w:w="26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September 30, 2019 and 2018</w:t>
              </w:r>
            </w:hyperlink>
          </w:p>
        </w:tc>
        <w:tc>
          <w:tcPr>
            <w:tcW w:w="58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40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424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70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2. Management’s Discussion and Analysis of Financial Condition and Results of Operations</w:t>
              </w:r>
            </w:hyperlink>
          </w:p>
        </w:tc>
        <w:tc>
          <w:tcPr>
            <w:tcW w:w="16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49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3. Quantitative and Qualitative Disclosures About Market Risk</w:t>
              </w:r>
            </w:hyperlink>
          </w:p>
        </w:tc>
        <w:tc>
          <w:tcPr>
            <w:tcW w:w="376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68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60" w:type="dxa"/>
            <w:vAlign w:val="bottom"/>
            <w:gridSpan w:val="15"/>
          </w:tcPr>
          <w:p>
            <w:pPr>
              <w:jc w:val="center"/>
              <w:ind w:right="284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 OTHER INFORMATION</w:t>
              </w:r>
            </w:hyperlink>
          </w:p>
        </w:tc>
        <w:tc>
          <w:tcPr>
            <w:tcW w:w="38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 Legal Proceedings</w:t>
              </w:r>
            </w:hyperlink>
          </w:p>
        </w:tc>
        <w:tc>
          <w:tcPr>
            <w:tcW w:w="960" w:type="dxa"/>
            <w:vAlign w:val="bottom"/>
            <w:gridSpan w:val="5"/>
          </w:tcPr>
          <w:p>
            <w:pPr>
              <w:spacing w:after="0"/>
              <w:rPr>
                <w:sz w:val="24"/>
                <w:szCs w:val="24"/>
                <w:color w:val="auto"/>
              </w:rPr>
            </w:pPr>
          </w:p>
        </w:tc>
        <w:tc>
          <w:tcPr>
            <w:tcW w:w="2940" w:type="dxa"/>
            <w:vAlign w:val="bottom"/>
            <w:tcBorders>
              <w:top w:val="single" w:sz="8" w:color="0000EE"/>
            </w:tcBorders>
            <w:gridSpan w:val="6"/>
          </w:tcPr>
          <w:p>
            <w:pPr>
              <w:spacing w:after="0"/>
              <w:rPr>
                <w:sz w:val="24"/>
                <w:szCs w:val="24"/>
                <w:color w:val="auto"/>
              </w:rPr>
            </w:pPr>
          </w:p>
        </w:tc>
        <w:tc>
          <w:tcPr>
            <w:tcW w:w="288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1A. Risk Factors</w:t>
              </w:r>
            </w:hyperlink>
          </w:p>
        </w:tc>
        <w:tc>
          <w:tcPr>
            <w:tcW w:w="708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8680" w:type="dxa"/>
            <w:vAlign w:val="bottom"/>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900" w:type="dxa"/>
            <w:vAlign w:val="bottom"/>
            <w:tcBorders>
              <w:top w:val="single" w:sz="8" w:color="0000EE"/>
            </w:tcBorders>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3. Defaults Upon Senior Securities</w:t>
              </w:r>
            </w:hyperlink>
          </w:p>
        </w:tc>
        <w:tc>
          <w:tcPr>
            <w:tcW w:w="37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88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5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4"/>
                <w:szCs w:val="24"/>
                <w:color w:val="auto"/>
              </w:rPr>
            </w:pPr>
          </w:p>
        </w:tc>
        <w:tc>
          <w:tcPr>
            <w:tcW w:w="63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1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6. Exhibits</w:t>
              </w:r>
            </w:hyperlink>
          </w:p>
        </w:tc>
        <w:tc>
          <w:tcPr>
            <w:tcW w:w="752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8680" w:type="dxa"/>
            <w:vAlign w:val="bottom"/>
            <w:gridSpan w:val="2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898"/>
        </w:trPr>
        <w:tc>
          <w:tcPr>
            <w:tcW w:w="760" w:type="dxa"/>
            <w:vAlign w:val="bottom"/>
            <w:tcBorders>
              <w:top w:val="single" w:sz="8" w:color="0000EE"/>
            </w:tcBorders>
            <w:gridSpan w:val="3"/>
          </w:tcPr>
          <w:p>
            <w:pPr>
              <w:spacing w:after="0"/>
              <w:rPr>
                <w:sz w:val="24"/>
                <w:szCs w:val="24"/>
                <w:color w:val="auto"/>
              </w:rPr>
            </w:pPr>
          </w:p>
        </w:tc>
        <w:tc>
          <w:tcPr>
            <w:tcW w:w="4140" w:type="dxa"/>
            <w:vAlign w:val="bottom"/>
            <w:gridSpan w:val="14"/>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61"/>
        </w:trPr>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2018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Unless the context otherwise requires, the terms “Quanterix,” the “Company,” “we,” “us” and “our” in this Quarterly Report on Form 10-Q refer to Quanterix Corporation and its subsidiaries. “Quanterix,” “Simoa,” “Simoa HD-1,” “SR-X,” “HD-1 Analyzer,” “SP-X”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1"/>
        </w:trPr>
        <w:tc>
          <w:tcPr>
            <w:tcW w:w="636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w:t>
            </w:r>
          </w:p>
        </w:tc>
      </w:tr>
      <w:tr>
        <w:trPr>
          <w:trHeight w:val="202"/>
        </w:trPr>
        <w:tc>
          <w:tcPr>
            <w:tcW w:w="6360" w:type="dxa"/>
            <w:vAlign w:val="bottom"/>
          </w:tcPr>
          <w:p>
            <w:pPr>
              <w:ind w:left="120"/>
              <w:spacing w:after="0" w:line="201" w:lineRule="exact"/>
              <w:rPr>
                <w:sz w:val="20"/>
                <w:szCs w:val="20"/>
                <w:color w:val="auto"/>
              </w:rPr>
            </w:pPr>
            <w:r>
              <w:rPr>
                <w:rFonts w:ascii="Arial" w:cs="Arial" w:eastAsia="Arial" w:hAnsi="Arial"/>
                <w:sz w:val="18"/>
                <w:szCs w:val="18"/>
                <w:color w:val="auto"/>
              </w:rPr>
              <w:t>Accounts receivable (less reserve for doubtful accounts of $98 and $36 as of</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w w:val="93"/>
              </w:rPr>
              <w:t>September 30, 2019 and December 31, 2018, respectively; including $321 and $48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from related parties as of September 30, 2019 and December 31, 2018,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36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6,792</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16"/>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1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67,611</w:t>
            </w:r>
          </w:p>
        </w:tc>
      </w:tr>
      <w:tr>
        <w:trPr>
          <w:trHeight w:val="203"/>
        </w:trPr>
        <w:tc>
          <w:tcPr>
            <w:tcW w:w="636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2"/>
        </w:trPr>
        <w:tc>
          <w:tcPr>
            <w:tcW w:w="6360" w:type="dxa"/>
            <w:vAlign w:val="bottom"/>
          </w:tcPr>
          <w:p>
            <w:pPr>
              <w:ind w:left="120"/>
              <w:spacing w:after="0" w:line="201" w:lineRule="exact"/>
              <w:rPr>
                <w:sz w:val="20"/>
                <w:szCs w:val="20"/>
                <w:color w:val="auto"/>
              </w:rPr>
            </w:pPr>
            <w:r>
              <w:rPr>
                <w:rFonts w:ascii="Arial" w:cs="Arial" w:eastAsia="Arial" w:hAnsi="Arial"/>
                <w:sz w:val="18"/>
                <w:szCs w:val="18"/>
                <w:color w:val="auto"/>
                <w:w w:val="92"/>
              </w:rPr>
              <w:t>Accounts payable (including $0 and $36 to related parties as of September 30, 2019</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6360" w:type="dxa"/>
            <w:vAlign w:val="bottom"/>
          </w:tcPr>
          <w:p>
            <w:pPr>
              <w:ind w:left="120"/>
              <w:spacing w:after="0"/>
              <w:rPr>
                <w:sz w:val="20"/>
                <w:szCs w:val="20"/>
                <w:color w:val="auto"/>
              </w:rPr>
            </w:pPr>
            <w:r>
              <w:rPr>
                <w:rFonts w:ascii="Arial" w:cs="Arial" w:eastAsia="Arial" w:hAnsi="Arial"/>
                <w:sz w:val="18"/>
                <w:szCs w:val="18"/>
                <w:color w:val="auto"/>
              </w:rPr>
              <w:t>and December 31, 2018, respectively)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4,245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5,110</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02"/>
        </w:trPr>
        <w:tc>
          <w:tcPr>
            <w:tcW w:w="6360" w:type="dxa"/>
            <w:vAlign w:val="bottom"/>
          </w:tcPr>
          <w:p>
            <w:pPr>
              <w:ind w:left="120"/>
              <w:spacing w:after="0" w:line="201" w:lineRule="exact"/>
              <w:rPr>
                <w:sz w:val="20"/>
                <w:szCs w:val="20"/>
                <w:color w:val="auto"/>
              </w:rPr>
            </w:pPr>
            <w:r>
              <w:rPr>
                <w:rFonts w:ascii="Arial" w:cs="Arial" w:eastAsia="Arial" w:hAnsi="Arial"/>
                <w:sz w:val="18"/>
                <w:szCs w:val="18"/>
                <w:color w:val="auto"/>
              </w:rPr>
              <w:t>Other accrued expenses (including $258 and $226 to related parties as of</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6360" w:type="dxa"/>
            <w:vAlign w:val="bottom"/>
          </w:tcPr>
          <w:p>
            <w:pPr>
              <w:ind w:left="120"/>
              <w:spacing w:after="0"/>
              <w:rPr>
                <w:sz w:val="20"/>
                <w:szCs w:val="20"/>
                <w:color w:val="auto"/>
              </w:rPr>
            </w:pPr>
            <w:r>
              <w:rPr>
                <w:rFonts w:ascii="Arial" w:cs="Arial" w:eastAsia="Arial" w:hAnsi="Arial"/>
                <w:sz w:val="18"/>
                <w:szCs w:val="18"/>
                <w:color w:val="auto"/>
              </w:rPr>
              <w:t>September 30, 2019 and December 31, 2018, respectively)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02"/>
        </w:trPr>
        <w:tc>
          <w:tcPr>
            <w:tcW w:w="63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Deferred revenue (including $62 and $33 with related parties as of</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30, 2019 and December 31, 2018, respectively)</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18,125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0"/>
        </w:trPr>
        <w:tc>
          <w:tcPr>
            <w:tcW w:w="63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26,546</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2"/>
        </w:trPr>
        <w:tc>
          <w:tcPr>
            <w:tcW w:w="6360" w:type="dxa"/>
            <w:vAlign w:val="bottom"/>
          </w:tcPr>
          <w:p>
            <w:pPr>
              <w:ind w:left="320"/>
              <w:spacing w:after="0" w:line="201" w:lineRule="exact"/>
              <w:rPr>
                <w:sz w:val="20"/>
                <w:szCs w:val="20"/>
                <w:color w:val="auto"/>
              </w:rPr>
            </w:pPr>
            <w:r>
              <w:rPr>
                <w:rFonts w:ascii="Arial" w:cs="Arial" w:eastAsia="Arial" w:hAnsi="Arial"/>
                <w:sz w:val="18"/>
                <w:szCs w:val="18"/>
                <w:color w:val="auto"/>
              </w:rPr>
              <w:t>Authorized—120,000,000 shares as of September 30, 2019 and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360" w:type="dxa"/>
            <w:vAlign w:val="bottom"/>
          </w:tcPr>
          <w:p>
            <w:pPr>
              <w:ind w:left="320"/>
              <w:spacing w:after="0"/>
              <w:rPr>
                <w:sz w:val="20"/>
                <w:szCs w:val="20"/>
                <w:color w:val="auto"/>
              </w:rPr>
            </w:pPr>
            <w:r>
              <w:rPr>
                <w:rFonts w:ascii="Arial" w:cs="Arial" w:eastAsia="Arial" w:hAnsi="Arial"/>
                <w:sz w:val="18"/>
                <w:szCs w:val="18"/>
                <w:color w:val="auto"/>
              </w:rPr>
              <w:t>December 31, 2018; issued and outstanding — 27,967,713 and 22,369,036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360" w:type="dxa"/>
            <w:vAlign w:val="bottom"/>
          </w:tcPr>
          <w:p>
            <w:pPr>
              <w:ind w:left="320"/>
              <w:spacing w:after="0"/>
              <w:rPr>
                <w:sz w:val="20"/>
                <w:szCs w:val="20"/>
                <w:color w:val="auto"/>
              </w:rPr>
            </w:pPr>
            <w:r>
              <w:rPr>
                <w:rFonts w:ascii="Arial" w:cs="Arial" w:eastAsia="Arial" w:hAnsi="Arial"/>
                <w:sz w:val="18"/>
                <w:szCs w:val="18"/>
                <w:color w:val="auto"/>
              </w:rPr>
              <w:t>shares as of September 30, 2019 and December 31, 2018, respectively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216,931</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(205,286)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(175,888)</w:t>
            </w:r>
          </w:p>
        </w:tc>
      </w:tr>
      <w:tr>
        <w:trPr>
          <w:trHeight w:val="210"/>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136,235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41,065</w:t>
            </w:r>
          </w:p>
        </w:tc>
      </w:tr>
      <w:tr>
        <w:trPr>
          <w:trHeight w:val="217"/>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67,611</w:t>
            </w:r>
          </w:p>
        </w:tc>
      </w:tr>
    </w:tbl>
    <w:p>
      <w:pPr>
        <w:spacing w:after="0" w:line="10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28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r>
      <w:tr>
        <w:trPr>
          <w:trHeight w:val="110"/>
        </w:trPr>
        <w:tc>
          <w:tcPr>
            <w:tcW w:w="42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Product revenue (including related party activity of $321 and $43 for</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tcBorders>
              <w:right w:val="single" w:sz="8" w:color="CCEEFF"/>
            </w:tcBorders>
            <w:shd w:val="clear" w:color="auto" w:fill="CCEEFF"/>
          </w:tcPr>
          <w:p>
            <w:pPr>
              <w:spacing w:after="0"/>
              <w:rPr>
                <w:sz w:val="9"/>
                <w:szCs w:val="9"/>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the three months ended September 30, 2019 and 2018, respectively, and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$526 and $179 for the nine months ended September 30, 2019 and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67"/>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2018, respectively)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29,059</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15,907</w:t>
            </w: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w w:val="98"/>
              </w:rPr>
              <w:t>Service and other revenue (including related party activity of $31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$34 for the three months ended September 30, 2019 and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respectively, and $73 and $100 for the nine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color w:val="auto"/>
              </w:rPr>
              <w:t>September 30, 2019 and 2018,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8,699</w:t>
            </w:r>
          </w:p>
        </w:tc>
      </w:tr>
      <w:tr>
        <w:trPr>
          <w:trHeight w:val="130"/>
        </w:trPr>
        <w:tc>
          <w:tcPr>
            <w:tcW w:w="4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Collaboration and license revenue (including related party activity of</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 and $1,612 for the three months ended September 30, 2019 and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 respectively, and $0 and $2,149 for the nine months ended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67"/>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September 30, 2019 and 2018,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r>
      <w:tr>
        <w:trPr>
          <w:trHeight w:val="196"/>
        </w:trPr>
        <w:tc>
          <w:tcPr>
            <w:tcW w:w="4220" w:type="dxa"/>
            <w:vAlign w:val="bottom"/>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14,944</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10,591</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26,755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Costs of goods sold: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r>
      <w:tr>
        <w:trPr>
          <w:trHeight w:val="130"/>
        </w:trPr>
        <w:tc>
          <w:tcPr>
            <w:tcW w:w="4220" w:type="dxa"/>
            <w:vAlign w:val="bottom"/>
          </w:tcPr>
          <w:p>
            <w:pPr>
              <w:ind w:left="120"/>
              <w:spacing w:after="0" w:line="130" w:lineRule="exact"/>
              <w:rPr>
                <w:sz w:val="20"/>
                <w:szCs w:val="20"/>
                <w:color w:val="auto"/>
              </w:rPr>
            </w:pPr>
            <w:r>
              <w:rPr>
                <w:rFonts w:ascii="Arial" w:cs="Arial" w:eastAsia="Arial" w:hAnsi="Arial"/>
                <w:sz w:val="14"/>
                <w:szCs w:val="14"/>
                <w:color w:val="auto"/>
                <w:w w:val="99"/>
              </w:rPr>
              <w:t>Cost of product revenue (including related party activity of $80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rPr>
              <w:t>$36 for the three months ended September 30, 2019 and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rPr>
              <w:t>respectively, and $150 and $158 for the nine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rPr>
              <w:t>September 30, 2019 and 2018, respectively; including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rPr>
              <w:t>compensation of $31 and $20 for the three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w w:val="95"/>
              </w:rPr>
              <w:t>September 30, 2019 and 2018, respectively, and $75 and $49 for the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4220" w:type="dxa"/>
            <w:vAlign w:val="bottom"/>
          </w:tcPr>
          <w:p>
            <w:pPr>
              <w:ind w:left="120"/>
              <w:spacing w:after="0"/>
              <w:rPr>
                <w:sz w:val="20"/>
                <w:szCs w:val="20"/>
                <w:color w:val="auto"/>
              </w:rPr>
            </w:pPr>
            <w:r>
              <w:rPr>
                <w:rFonts w:ascii="Arial" w:cs="Arial" w:eastAsia="Arial" w:hAnsi="Arial"/>
                <w:sz w:val="14"/>
                <w:szCs w:val="14"/>
                <w:color w:val="auto"/>
              </w:rPr>
              <w:t>nine months ended September 30, 2019 and 2018,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8,995</w:t>
            </w:r>
          </w:p>
        </w:tc>
      </w:tr>
      <w:tr>
        <w:trPr>
          <w:trHeight w:val="130"/>
        </w:trPr>
        <w:tc>
          <w:tcPr>
            <w:tcW w:w="42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Cost of services and other revenue (including stock compensation of</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r>
      <w:tr>
        <w:trPr>
          <w:trHeight w:val="149"/>
        </w:trPr>
        <w:tc>
          <w:tcPr>
            <w:tcW w:w="4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$58 and $38 for the three months ended September 30, 2019 and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2018, respectively, and $175 and $121 for the nine months ended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67"/>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30, 2019 and 2018, respectively)</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5,021</w:t>
            </w:r>
          </w:p>
        </w:tc>
      </w:tr>
      <w:tr>
        <w:trPr>
          <w:trHeight w:val="196"/>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costs of goods sold and services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14,016</w:t>
            </w:r>
          </w:p>
        </w:tc>
      </w:tr>
      <w:tr>
        <w:trPr>
          <w:trHeight w:val="19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12,739</w:t>
            </w:r>
          </w:p>
        </w:tc>
      </w:tr>
      <w:tr>
        <w:trPr>
          <w:trHeight w:val="216"/>
        </w:trPr>
        <w:tc>
          <w:tcPr>
            <w:tcW w:w="4220" w:type="dxa"/>
            <w:vAlign w:val="bottom"/>
          </w:tcPr>
          <w:p>
            <w:pPr>
              <w:spacing w:after="0"/>
              <w:rPr>
                <w:sz w:val="20"/>
                <w:szCs w:val="20"/>
                <w:color w:val="auto"/>
              </w:rPr>
            </w:pPr>
            <w:r>
              <w:rPr>
                <w:rFonts w:ascii="Arial" w:cs="Arial" w:eastAsia="Arial" w:hAnsi="Arial"/>
                <w:sz w:val="14"/>
                <w:szCs w:val="14"/>
                <w:color w:val="auto"/>
              </w:rPr>
              <w:t>Operating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30"/>
        </w:trPr>
        <w:tc>
          <w:tcPr>
            <w:tcW w:w="42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Research and development (including stock compensation of $175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r>
      <w:tr>
        <w:trPr>
          <w:trHeight w:val="149"/>
        </w:trPr>
        <w:tc>
          <w:tcPr>
            <w:tcW w:w="4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and $152 for the three months ended September 30, 2019 and 2018,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respectively, and $523 and $361 for the nine months ended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67"/>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30, 2019 and 2018,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11,759</w:t>
            </w:r>
          </w:p>
        </w:tc>
      </w:tr>
      <w:tr>
        <w:trPr>
          <w:trHeight w:val="130"/>
        </w:trPr>
        <w:tc>
          <w:tcPr>
            <w:tcW w:w="4220" w:type="dxa"/>
            <w:vAlign w:val="bottom"/>
          </w:tcPr>
          <w:p>
            <w:pPr>
              <w:ind w:left="120"/>
              <w:spacing w:after="0" w:line="130" w:lineRule="exact"/>
              <w:rPr>
                <w:sz w:val="20"/>
                <w:szCs w:val="20"/>
                <w:color w:val="auto"/>
              </w:rPr>
            </w:pPr>
            <w:r>
              <w:rPr>
                <w:rFonts w:ascii="Arial" w:cs="Arial" w:eastAsia="Arial" w:hAnsi="Arial"/>
                <w:sz w:val="14"/>
                <w:szCs w:val="14"/>
                <w:color w:val="auto"/>
                <w:w w:val="96"/>
              </w:rPr>
              <w:t>Selling, general and administrative (including stock compensation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w w:val="97"/>
              </w:rPr>
              <w:t>$1,564 and $1,657 for the three months ended September 30, 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20" w:type="dxa"/>
            <w:vAlign w:val="bottom"/>
          </w:tcPr>
          <w:p>
            <w:pPr>
              <w:ind w:left="120"/>
              <w:spacing w:after="0" w:line="149" w:lineRule="exact"/>
              <w:rPr>
                <w:sz w:val="20"/>
                <w:szCs w:val="20"/>
                <w:color w:val="auto"/>
              </w:rPr>
            </w:pPr>
            <w:r>
              <w:rPr>
                <w:rFonts w:ascii="Arial" w:cs="Arial" w:eastAsia="Arial" w:hAnsi="Arial"/>
                <w:sz w:val="14"/>
                <w:szCs w:val="14"/>
                <w:color w:val="auto"/>
                <w:w w:val="98"/>
              </w:rPr>
              <w:t>and 2018, respectively, and $3,940 and $2,862 for the nine months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ended September 30, 2019 and 2018, respectively)</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8,846</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23,117</w:t>
            </w:r>
          </w:p>
        </w:tc>
      </w:tr>
      <w:tr>
        <w:trPr>
          <w:trHeight w:val="19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13,257</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34,876</w:t>
            </w:r>
          </w:p>
        </w:tc>
      </w:tr>
      <w:tr>
        <w:trPr>
          <w:trHeight w:val="196"/>
        </w:trPr>
        <w:tc>
          <w:tcPr>
            <w:tcW w:w="4220" w:type="dxa"/>
            <w:vAlign w:val="bottom"/>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(10,243)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(30,116)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(22,137)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 (expense),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(22,202)</w:t>
            </w: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3"/>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(29,838)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(22,202)</w:t>
            </w:r>
          </w:p>
        </w:tc>
      </w:tr>
      <w:tr>
        <w:trPr>
          <w:trHeight w:val="27"/>
        </w:trPr>
        <w:tc>
          <w:tcPr>
            <w:tcW w:w="4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r>
      <w:tr>
        <w:trPr>
          <w:trHeight w:val="196"/>
        </w:trPr>
        <w:tc>
          <w:tcPr>
            <w:tcW w:w="4220" w:type="dxa"/>
            <w:vAlign w:val="bottom"/>
          </w:tcPr>
          <w:p>
            <w:pPr>
              <w:spacing w:after="0"/>
              <w:rPr>
                <w:sz w:val="20"/>
                <w:szCs w:val="20"/>
                <w:color w:val="auto"/>
              </w:rPr>
            </w:pPr>
            <w:r>
              <w:rPr>
                <w:rFonts w:ascii="Arial" w:cs="Arial" w:eastAsia="Arial" w:hAnsi="Arial"/>
                <w:sz w:val="14"/>
                <w:szCs w:val="14"/>
                <w:color w:val="auto"/>
              </w:rPr>
              <w:t>Net loss per share, basic and diluted</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(0.37)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(0.35)</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9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common shares outstanding, basic and 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26,627,831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22,070,786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24,102,887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21,917,823</w:t>
            </w: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w w:val="95"/>
              </w:rPr>
              <w:t>Three Months Ended September 30,</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6"/>
        </w:trPr>
        <w:tc>
          <w:tcPr>
            <w:tcW w:w="28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w:t>
            </w:r>
          </w:p>
        </w:tc>
      </w:tr>
      <w:tr>
        <w:trPr>
          <w:trHeight w:val="191"/>
        </w:trPr>
        <w:tc>
          <w:tcPr>
            <w:tcW w:w="280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2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Cumulative translation adjustment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other comprehensive loss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(30,973)</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r>
      <w:tr>
        <w:trPr>
          <w:trHeight w:val="797"/>
        </w:trPr>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(29,838)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(22,202)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Change in fair value of preferred stock warrants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2"/>
              </w:rPr>
              <w:t>Accrued compensation and benefits, other accrued expenses and other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Contract acquisition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(20,613)</w:t>
            </w: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proceeds from at-the-market 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underwritten public offering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Proceeds from ESPP purchase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notes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Effect of foreign currency exchange rate on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79,682</w:t>
            </w: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52,423</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7"/>
              </w:rPr>
              <w:t>191,152 shares of common stock issued in connection with the acquisition of Uman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5,467</w:t>
            </w:r>
          </w:p>
        </w:tc>
        <w:tc>
          <w:tcPr>
            <w:tcW w:w="8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other non-current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113,327</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52,423</w:t>
            </w:r>
          </w:p>
        </w:tc>
      </w:tr>
      <w:tr>
        <w:trPr>
          <w:trHeight w:val="214"/>
        </w:trPr>
        <w:tc>
          <w:tcPr>
            <w:tcW w:w="6500" w:type="dxa"/>
            <w:vAlign w:val="bottom"/>
          </w:tcPr>
          <w:p>
            <w:pPr>
              <w:ind w:left="3920"/>
              <w:spacing w:after="0"/>
              <w:rPr>
                <w:sz w:val="20"/>
                <w:szCs w:val="20"/>
                <w:color w:val="auto"/>
              </w:rPr>
            </w:pPr>
            <w:r>
              <w:rPr>
                <w:rFonts w:ascii="Arial" w:cs="Arial" w:eastAsia="Arial" w:hAnsi="Arial"/>
                <w:sz w:val="18"/>
                <w:szCs w:val="18"/>
                <w:b w:val="1"/>
                <w:bCs w:val="1"/>
                <w:color w:val="auto"/>
              </w:rPr>
              <w:t>See accompanying notes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643"/>
        </w:trPr>
        <w:tc>
          <w:tcPr>
            <w:tcW w:w="6500" w:type="dxa"/>
            <w:vAlign w:val="bottom"/>
          </w:tcPr>
          <w:p>
            <w:pPr>
              <w:ind w:left="44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6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0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stockholders’</w:t>
            </w:r>
          </w:p>
        </w:tc>
      </w:tr>
      <w:tr>
        <w:trPr>
          <w:trHeight w:val="161"/>
        </w:trPr>
        <w:tc>
          <w:tcPr>
            <w:tcW w:w="4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 shares</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stock value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1"/>
              </w:rPr>
              <w:t>loss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24,894,019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270,136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(195,416)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74,745</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45,690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Exercise of common stock options and vesting of restricted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87,476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Sale of common stock in underwritten public offering, net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2,732,673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64,526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64,529</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acquisition of Uman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191,152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ESPP stock purchase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16,703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Cumulative transition adjustment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(9,870)</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(9,870)</w:t>
            </w: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27,967,713</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342,628</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(1,135)</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(205,286)</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136,235</w:t>
            </w:r>
          </w:p>
        </w:tc>
      </w:tr>
      <w:tr>
        <w:trPr>
          <w:trHeight w:val="284"/>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0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stockholders’</w:t>
            </w:r>
          </w:p>
        </w:tc>
      </w:tr>
      <w:tr>
        <w:trPr>
          <w:trHeight w:val="161"/>
        </w:trPr>
        <w:tc>
          <w:tcPr>
            <w:tcW w:w="4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 shares</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stock value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1"/>
              </w:rPr>
              <w:t>loss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2018</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21,980,681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212,050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(158,897)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53,175</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w w:val="99"/>
              </w:rPr>
              <w:t>Exercise of common stock options and vesting of restricted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170,729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r>
      <w:tr>
        <w:trPr>
          <w:trHeight w:val="149"/>
        </w:trPr>
        <w:tc>
          <w:tcPr>
            <w:tcW w:w="40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(7,657)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(7,657)</w:t>
            </w:r>
          </w:p>
        </w:tc>
      </w:tr>
      <w:tr>
        <w:trPr>
          <w:trHeight w:val="149"/>
        </w:trPr>
        <w:tc>
          <w:tcPr>
            <w:tcW w:w="40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2018</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22,151,410</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214,220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(166,554)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47,688</w:t>
            </w:r>
          </w:p>
        </w:tc>
      </w:tr>
      <w:tr>
        <w:trPr>
          <w:trHeight w:val="284"/>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0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stockholders’</w:t>
            </w:r>
          </w:p>
        </w:tc>
      </w:tr>
      <w:tr>
        <w:trPr>
          <w:trHeight w:val="161"/>
        </w:trPr>
        <w:tc>
          <w:tcPr>
            <w:tcW w:w="4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 shares</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stock value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1"/>
              </w:rPr>
              <w:t>loss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22,369,036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216,931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(175,888)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41,065</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Cumulative-effect adjustment for the adoption of ASC 606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45,690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w w:val="99"/>
              </w:rPr>
              <w:t>Exercise of common stock options and vesting of restricted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406,246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2,176</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common stock in at-the-market offering, net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2,186,163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48,019</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Sale of common stock in underwritten public offering, net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2,732,673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64,526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64,529</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acquisition of Uman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191,152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ESPP stock purchase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36,753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799</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Cumulative transition adjustment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(29,838)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(29,838)</w:t>
            </w: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27,967,713</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342,628</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(1,135)</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(205,286)</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136,235</w:t>
            </w:r>
          </w:p>
        </w:tc>
      </w:tr>
      <w:tr>
        <w:trPr>
          <w:trHeight w:val="284"/>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0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stockholders’</w:t>
            </w:r>
          </w:p>
        </w:tc>
      </w:tr>
      <w:tr>
        <w:trPr>
          <w:trHeight w:val="161"/>
        </w:trPr>
        <w:tc>
          <w:tcPr>
            <w:tcW w:w="4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 shares</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stock value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1"/>
              </w:rPr>
              <w:t>loss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equity</w:t>
            </w: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2017</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21,707,041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210,196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(144,352)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65,866</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16,718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Exercise of common stock options and vesting of restricted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427,651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Sale of common stock in at-the-market offering, net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r>
      <w:tr>
        <w:trPr>
          <w:trHeight w:val="149"/>
        </w:trPr>
        <w:tc>
          <w:tcPr>
            <w:tcW w:w="40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(22,202)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(22,202)</w:t>
            </w:r>
          </w:p>
        </w:tc>
      </w:tr>
      <w:tr>
        <w:trPr>
          <w:trHeight w:val="149"/>
        </w:trPr>
        <w:tc>
          <w:tcPr>
            <w:tcW w:w="40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2018</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22,151,410</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214,220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(166,554)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47,688</w:t>
            </w: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is also developing its bead-based technology to detect nucleic acids in biological samples.</w:t>
      </w:r>
    </w:p>
    <w:p>
      <w:pPr>
        <w:spacing w:after="0" w:line="1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ahead of its original fourth quarter expectation.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acquired of UmanDiagnostics AB, a Swedish company located in Umea, Sweden (Uman), in August 2019.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19, 2019, the Company entered into a Sales Agreement (the Sales Agreement) with Cowen and Company, LLC (Cowen) with respect to an at-the-market offering program under which the Company may offer and sell, from time to time at its sole discretion, shares of its common stock, par value $0.001 per share, having an aggregate offering price of up to $50.0 million through Cowen as its sales agent.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August 8, 2019, the Company entered into an underwriting agreement with J.P. Morgan Securities LLC and SVB Leerink LLC,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w:t>
      </w:r>
    </w:p>
    <w:p>
      <w:pPr>
        <w:sectPr>
          <w:pgSz w:w="11900" w:h="16838" w:orient="portrait"/>
          <w:cols w:equalWidth="0" w:num="1">
            <w:col w:w="9060"/>
          </w:cols>
          <w:pgMar w:left="1420" w:top="125" w:right="141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for interim financial information and with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filed with the Securities and Exchange Commission on March 18, 2019 (the 2018 Annual Report on Form 10-K). The consolidated financial information as of December 31, 2018 has been derived from the audited 2018 consolidated financial statements included in the Company’s 2018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All material intercompany transactions and balances have been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 accounts for uncertain tax positions in accordance with the provisions of ASC 740, </w:t>
      </w:r>
      <w:r>
        <w:rPr>
          <w:rFonts w:ascii="Arial" w:cs="Arial" w:eastAsia="Arial" w:hAnsi="Arial"/>
          <w:sz w:val="18"/>
          <w:szCs w:val="18"/>
          <w:i w:val="1"/>
          <w:iCs w:val="1"/>
          <w:color w:val="auto"/>
        </w:rPr>
        <w:t>Income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(ASC 740). When uncertain tax positions exist, the Company recognizes the tax benefit of tax positions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2019 the Company did not have any significant uncertain tax positions.</w:t>
      </w:r>
    </w:p>
    <w:p>
      <w:pPr>
        <w:spacing w:after="0" w:line="17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September 30, 2019, the Company acquired Uman. The Company analyzed the transaction from an income tax perspective and adjusted the deferred tax assets and liabilities related to the Uman acquisition. Of the total goodwill recorded, less than $0.1 million is amortizable related to the historical tax basis that Uman had prior to the acquisition.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w:t>
      </w:r>
    </w:p>
    <w:p>
      <w:pPr>
        <w:sectPr>
          <w:pgSz w:w="11900" w:h="16838" w:orient="portrait"/>
          <w:cols w:equalWidth="0" w:num="1">
            <w:col w:w="9060"/>
          </w:cols>
          <w:pgMar w:left="1420" w:top="125" w:right="1419" w:bottom="1"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and amortization expense. If estimates of the economic lives change, depreciation or amortization expenses could be accelerated or slowed.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new headquarters. The restricted cash is long term in nature as the Company will not have access to the funds until more than one year from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On January 1, 2019, the Company adopted Accounting Standards Codification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(ASC 606), using the modified retrospective method. Under ASC 606, revenue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transfer of control of goods or services to customers and reflects the amount of consideration to which an entity expects to be entitled in exchange for those goods or services. The adoption of ASC 606 has been applied to customer contracts that were not completed as of January 1, 2019, and did not materially change the pattern of revenue recognition for its current customer contracts. The Company's consolidated financial statements for the prior-year period have not been revised and are reflective of the revenue recognition requirements which were in effect for that period.</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recorded an adjustment to the accumulated deficit of $0.4 million as of January 1, 2019 for the cumulative effect primarily related to the deferral of sales commissions.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accordance with the reporting requirements of ASC 606, the disclosure of the impact on the Company's consolidated balance sheet and statement of operations, as a result of adopting the provisions of ASC 606,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Prior to</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3"/>
              </w:rPr>
              <w:t>Adjusted under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Adjustments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ASC 606</w:t>
            </w:r>
          </w:p>
        </w:tc>
        <w:tc>
          <w:tcPr>
            <w:tcW w:w="16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January 1,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6,792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6,839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11,914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2"/>
              </w:rPr>
              <w:t>Deferred revenue, net of current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portion</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(175,888)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(175,448)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(205,778)</w:t>
            </w:r>
          </w:p>
        </w:tc>
        <w:tc>
          <w:tcPr>
            <w:tcW w:w="0" w:type="dxa"/>
            <w:vAlign w:val="bottom"/>
          </w:tcPr>
          <w:p>
            <w:pPr>
              <w:spacing w:after="0"/>
              <w:rPr>
                <w:sz w:val="1"/>
                <w:szCs w:val="1"/>
                <w:color w:val="auto"/>
              </w:rPr>
            </w:pPr>
          </w:p>
        </w:tc>
      </w:tr>
      <w:tr>
        <w:trPr>
          <w:trHeight w:val="378"/>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14"/>
          </w:tcPr>
          <w:p>
            <w:pPr>
              <w:jc w:val="right"/>
              <w:ind w:right="240"/>
              <w:spacing w:after="0"/>
              <w:rPr>
                <w:sz w:val="20"/>
                <w:szCs w:val="20"/>
                <w:color w:val="auto"/>
              </w:rPr>
            </w:pPr>
            <w:r>
              <w:rPr>
                <w:rFonts w:ascii="Arial" w:cs="Arial" w:eastAsia="Arial" w:hAnsi="Arial"/>
                <w:sz w:val="14"/>
                <w:szCs w:val="14"/>
                <w:b w:val="1"/>
                <w:bCs w:val="1"/>
                <w:color w:val="auto"/>
                <w:w w:val="93"/>
              </w:rPr>
              <w:t>For the Three Months Ended September 30, 2019</w:t>
            </w:r>
          </w:p>
        </w:tc>
        <w:tc>
          <w:tcPr>
            <w:tcW w:w="3200" w:type="dxa"/>
            <w:vAlign w:val="bottom"/>
            <w:gridSpan w:val="13"/>
          </w:tcPr>
          <w:p>
            <w:pPr>
              <w:jc w:val="right"/>
              <w:ind w:right="36"/>
              <w:spacing w:after="0"/>
              <w:rPr>
                <w:sz w:val="20"/>
                <w:szCs w:val="20"/>
                <w:color w:val="auto"/>
              </w:rPr>
            </w:pPr>
            <w:r>
              <w:rPr>
                <w:rFonts w:ascii="Arial" w:cs="Arial" w:eastAsia="Arial" w:hAnsi="Arial"/>
                <w:sz w:val="14"/>
                <w:szCs w:val="14"/>
                <w:b w:val="1"/>
                <w:bCs w:val="1"/>
                <w:color w:val="auto"/>
                <w:w w:val="96"/>
              </w:rPr>
              <w:t>For the Nine Months Ended September 30, 2019</w:t>
            </w: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2"/>
              </w:rPr>
              <w:t>Under ASC 606</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Under ASC</w:t>
            </w:r>
          </w:p>
        </w:tc>
        <w:tc>
          <w:tcPr>
            <w:tcW w:w="140" w:type="dxa"/>
            <w:vAlign w:val="bottom"/>
          </w:tcPr>
          <w:p>
            <w:pPr>
              <w:spacing w:after="0"/>
              <w:rPr>
                <w:sz w:val="10"/>
                <w:szCs w:val="10"/>
                <w:color w:val="auto"/>
              </w:rPr>
            </w:pPr>
          </w:p>
        </w:tc>
        <w:tc>
          <w:tcPr>
            <w:tcW w:w="112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Under ASC 606</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Under ASC</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b w:val="1"/>
                <w:bCs w:val="1"/>
                <w:color w:val="auto"/>
              </w:rPr>
              <w:t>605</w:t>
            </w:r>
          </w:p>
        </w:tc>
        <w:tc>
          <w:tcPr>
            <w:tcW w:w="14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605</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28,678</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COGS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19,810</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adoption of ASC 606 is discussed in further detail in Note 3.</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January of 2019, the Company adopted accounting standards update (ASU) 2016-01, which requires equity investments (except those accounted for under the equity method of accounting or those that result in consolidation of the investee) to be measured at fair value with changes in fair value recognized in net income. For equity investments without readily determinable fair values that do not qualify for the practical expedient to estimate fair value using the net asset value per share or its equivalent, the Company has elected to measure these investments at cost minus impairment, if any, plus or minus changes resulting from observable price changes in orderly transactions for the identical or similar investment of the same issuer. This election is made for each investment separately and is reassessed at each reporting period as to whether the investment continues to qualify for this election. Additionally, at each reporting period, the</w:t>
      </w:r>
    </w:p>
    <w:p>
      <w:pPr>
        <w:sectPr>
          <w:pgSz w:w="11900" w:h="16838" w:orient="portrait"/>
          <w:cols w:equalWidth="0" w:num="1">
            <w:col w:w="9060"/>
          </w:cols>
          <w:pgMar w:left="1420" w:top="125" w:right="141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Company makes a qualitative assessment considering impairment indicators to evaluate whether the investment is impaired.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standard did not have a material effect.</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222222"/>
        </w:rPr>
        <w:t xml:space="preserve">In February 2016, the FASB issued ASU No. 2016-02, </w:t>
      </w:r>
      <w:r>
        <w:rPr>
          <w:rFonts w:ascii="Arial" w:cs="Arial" w:eastAsia="Arial" w:hAnsi="Arial"/>
          <w:sz w:val="16"/>
          <w:szCs w:val="16"/>
          <w:i w:val="1"/>
          <w:iCs w:val="1"/>
          <w:color w:val="222222"/>
        </w:rPr>
        <w:t>Leases (Topic 842): Recognition and Measurement of</w:t>
      </w:r>
      <w:r>
        <w:rPr>
          <w:rFonts w:ascii="Arial" w:cs="Arial" w:eastAsia="Arial" w:hAnsi="Arial"/>
          <w:sz w:val="16"/>
          <w:szCs w:val="16"/>
          <w:color w:val="222222"/>
        </w:rPr>
        <w:t xml:space="preserve"> </w:t>
      </w:r>
      <w:r>
        <w:rPr>
          <w:rFonts w:ascii="Arial" w:cs="Arial" w:eastAsia="Arial" w:hAnsi="Arial"/>
          <w:sz w:val="16"/>
          <w:szCs w:val="16"/>
          <w:i w:val="1"/>
          <w:iCs w:val="1"/>
          <w:color w:val="222222"/>
        </w:rPr>
        <w:t xml:space="preserve">Financial Assets and Financial Liabilities </w:t>
      </w:r>
      <w:r>
        <w:rPr>
          <w:rFonts w:ascii="Arial" w:cs="Arial" w:eastAsia="Arial" w:hAnsi="Arial"/>
          <w:sz w:val="16"/>
          <w:szCs w:val="16"/>
          <w:color w:val="222222"/>
        </w:rPr>
        <w:t>(ASU 2016-02), which establishes principles that lessees and lessors shall apply to</w:t>
      </w:r>
      <w:r>
        <w:rPr>
          <w:rFonts w:ascii="Arial" w:cs="Arial" w:eastAsia="Arial" w:hAnsi="Arial"/>
          <w:sz w:val="16"/>
          <w:szCs w:val="16"/>
          <w:i w:val="1"/>
          <w:iCs w:val="1"/>
          <w:color w:val="222222"/>
        </w:rPr>
        <w:t xml:space="preserve"> </w:t>
      </w:r>
      <w:r>
        <w:rPr>
          <w:rFonts w:ascii="Arial" w:cs="Arial" w:eastAsia="Arial" w:hAnsi="Arial"/>
          <w:sz w:val="16"/>
          <w:szCs w:val="16"/>
          <w:color w:val="222222"/>
        </w:rPr>
        <w:t>report useful information to users of financial statements about the amount, timing and uncertainty of cash flows arising from a lease. Under ASU 2016-02, lessees will be required to recognize a lease liability and a right-of-use asset for all leases (with the exception of short term leases) at the commencement date. ASU 2016-02 is effective for the Company for the year ending December 31, 2020. Early adoption is permitted. In 2018, the FASB modified ASU 2016-02 by issuing ASU 2018-01 and ASU 2018-11, which collectively added two practical expedients, provided a second modified retrospective transition method which does not require retrospective adjustment of prior periods, and provided certain narrow scope improvements to ASU 2016-02. The Company is currently evaluating the expected impact of ASU 2016-2 on its financial statements.</w:t>
      </w:r>
    </w:p>
    <w:p>
      <w:pPr>
        <w:spacing w:after="0" w:line="15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amends the impairment model by requiring entities to use a forward-looking approach based on expected losses to estimate credit losses on certain types of financial instruments, including trade receivables and available-for-sale debt securities. The standard is effective for the Company beginning in the first quarter of 2020, with early adoption permitted. The Company is currently evaluating the expected impact of ASU 2016-13 on its financial statements.</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This ASU eliminates Step 2 from the goodwill impairment test. In addition,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This ASU is effective for annual periods beginning after December 15, 2019 and interim periods within those annual periods. Early adoption is permitted for interim or annual goodwill impairment tests performed on testing dates after January 1, 2017. The Company does not expect adoption of this ASU to be material to its financial statements.</w:t>
      </w:r>
    </w:p>
    <w:p>
      <w:pPr>
        <w:spacing w:after="0" w:line="178" w:lineRule="exact"/>
        <w:rPr>
          <w:sz w:val="20"/>
          <w:szCs w:val="20"/>
          <w:color w:val="auto"/>
        </w:rPr>
      </w:pPr>
    </w:p>
    <w:p>
      <w:pPr>
        <w:ind w:right="1000" w:firstLine="648"/>
        <w:spacing w:after="0" w:line="223" w:lineRule="exact"/>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The Company adopted ASC 606 on January 1, 2019, using the modified retrospective method for all contracts not completed as of the date of adoption. The reported results for 2019 reflect the application of ASC 606 guidance, while the reported results for 2018 were prepared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exceeds 200 customers and includes several of the largest biopharmaceutical companies, academic research organizations and distributors who serve certain geographic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products are composed of analyzer instruments, assay kits and other consumables such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reagents. Products are sold directly to biopharmaceutical and academic research organizations or are sold through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distributors in EMEA and Asia Pacific regions. The sales of instruments are generally accompanied by an initial year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implied service-type warranties and may be bundled with assays and other consumables and may also include other items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training and installation of the instrument and/or an extended service warranty. Revenues from the sale of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recognized at a point in time when the Company transfers control of the product to the customer, which is upon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installation for instruments sold to direct customers, and based upon shipping terms for assay kits and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consumables. Revenue for instruments sold to distributors is generally recognized based upon shipping terms (either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shipment or delivery).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w:t>
      </w:r>
    </w:p>
    <w:p>
      <w:pPr>
        <w:sectPr>
          <w:pgSz w:w="11900" w:h="16838" w:orient="portrait"/>
          <w:cols w:equalWidth="0" w:num="1">
            <w:col w:w="9060"/>
          </w:cols>
          <w:pgMar w:left="1420" w:top="125" w:right="1419"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60"/>
          </w:cols>
          <w:pgMar w:left="1420" w:top="125" w:right="1419" w:bottom="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104"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has not recognized any revenues from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The Company does not provide extended payment terms or financing arrangements to its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When disaggregating revenue, the Company considered all of the economic factors that may affect its revenues. The following tables disaggregate the Company's revenue from contracts with customers by revenue type: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9"/>
              </w:rPr>
              <w:t>Nine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7"/>
              </w:rPr>
              <w:t>September 30, 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Asia Pacific</w:t>
            </w:r>
          </w:p>
        </w:tc>
        <w:tc>
          <w:tcPr>
            <w:tcW w:w="12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NA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EMEA</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Asia Pacific</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Instruments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1,795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1,387</w:t>
            </w:r>
          </w:p>
        </w:tc>
        <w:tc>
          <w:tcPr>
            <w:tcW w:w="160" w:type="dxa"/>
            <w:vAlign w:val="bottom"/>
          </w:tcPr>
          <w:p>
            <w:pPr>
              <w:spacing w:after="0"/>
              <w:rPr>
                <w:sz w:val="18"/>
                <w:szCs w:val="18"/>
                <w:color w:val="auto"/>
              </w:rPr>
            </w:pPr>
          </w:p>
        </w:tc>
        <w:tc>
          <w:tcPr>
            <w:tcW w:w="200" w:type="dxa"/>
            <w:vAlign w:val="bottom"/>
          </w:tcPr>
          <w:p>
            <w:pPr>
              <w:jc w:val="center"/>
              <w:ind w:right="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3,425</w:t>
            </w:r>
          </w:p>
        </w:tc>
        <w:tc>
          <w:tcPr>
            <w:tcW w:w="1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10,257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89"/>
              </w:rPr>
              <w:t>Consumable and other products</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2,557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18,802</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10,164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29,059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w w:val="96"/>
              </w:rPr>
              <w:t>Service and other revenues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Research services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3,413</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center"/>
              <w:ind w:right="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11,757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 the period the underlying transaction occurs. The Company has not recorded any sales- or usage-based royalty revenue for the three and nine months ended September 30, 2019.</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September 30, 2019 is $5.3 million. Of the performance obligations not yet satisfied or are partially satisfied, $4.9 million is expected to be recognized as revenue in the next 12 months, with the remainder to be recognized within the 24 months thereafter. The $5.3 million principally consists of $2.8 million billed for undelivered services related to initial and extended service-type warranties and research services, as well as $1.7 million related to undelivered licenses of intellectual property for a diagnostics company (see Note 12).</w:t>
      </w:r>
    </w:p>
    <w:p>
      <w:pPr>
        <w:sectPr>
          <w:pgSz w:w="11900" w:h="16838" w:orient="portrait"/>
          <w:cols w:equalWidth="0" w:num="1">
            <w:col w:w="9060"/>
          </w:cols>
          <w:pgMar w:left="1420" w:top="125"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deferred revenue from contracts with customers were as follows (in thousands):</w:t>
      </w:r>
    </w:p>
    <w:p>
      <w:pPr>
        <w:spacing w:after="0" w:line="242" w:lineRule="exact"/>
        <w:rPr>
          <w:sz w:val="20"/>
          <w:szCs w:val="20"/>
          <w:color w:val="auto"/>
        </w:rPr>
      </w:pPr>
    </w:p>
    <w:p>
      <w:pPr>
        <w:jc w:val="right"/>
        <w:ind w:right="1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10795</wp:posOffset>
            </wp:positionV>
            <wp:extent cx="459676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ectPr>
          <w:pgSz w:w="11900" w:h="16838" w:orient="portrait"/>
          <w:cols w:equalWidth="0" w:num="1">
            <w:col w:w="9060"/>
          </w:cols>
          <w:pgMar w:left="1420" w:top="125" w:right="1419" w:bottom="0" w:gutter="0" w:footer="0" w:header="0"/>
        </w:sectPr>
      </w:pPr>
    </w:p>
    <w:p>
      <w:pPr>
        <w:spacing w:after="0" w:line="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Balance at December 31, 2018</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606 adoption adjustment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20320</wp:posOffset>
            </wp:positionV>
            <wp:extent cx="459676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Balance at September 30,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5,957</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30"/>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17"/>
        </w:trPr>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r>
    </w:tbl>
    <w:p>
      <w:pPr>
        <w:spacing w:after="0" w:line="608" w:lineRule="exact"/>
        <w:rPr>
          <w:sz w:val="20"/>
          <w:szCs w:val="20"/>
          <w:color w:val="auto"/>
        </w:rPr>
      </w:pPr>
    </w:p>
    <w:p>
      <w:pPr>
        <w:sectPr>
          <w:pgSz w:w="11900" w:h="16838" w:orient="portrait"/>
          <w:cols w:equalWidth="0" w:num="2">
            <w:col w:w="5240" w:space="720"/>
            <w:col w:w="3100"/>
          </w:cols>
          <w:pgMar w:left="1420" w:top="125" w:right="1419" w:bottom="0" w:gutter="0" w:footer="0" w:header="0"/>
          <w:type w:val="continuous"/>
        </w:sectPr>
      </w:pPr>
    </w:p>
    <w:p>
      <w:pPr>
        <w:spacing w:after="0" w:line="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60"/>
          </w:cols>
          <w:pgMar w:left="1420" w:top="125" w:right="1419" w:bottom="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606 adoption adjustment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-130810</wp:posOffset>
            </wp:positionV>
            <wp:extent cx="459676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Recognition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20320</wp:posOffset>
            </wp:positionV>
            <wp:extent cx="459676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September 30, 2019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jc w:val="right"/>
              <w:ind w:right="37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September 30, 2019</w:t>
            </w:r>
          </w:p>
        </w:tc>
      </w:tr>
      <w:tr>
        <w:trPr>
          <w:trHeight w:val="195"/>
        </w:trPr>
        <w:tc>
          <w:tcPr>
            <w:tcW w:w="20" w:type="dxa"/>
            <w:vAlign w:val="bottom"/>
          </w:tcPr>
          <w:p>
            <w:pPr>
              <w:spacing w:after="0"/>
              <w:rPr>
                <w:sz w:val="16"/>
                <w:szCs w:val="16"/>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17"/>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bl>
    <w:p>
      <w:pPr>
        <w:spacing w:after="0" w:line="200" w:lineRule="exact"/>
        <w:rPr>
          <w:sz w:val="20"/>
          <w:szCs w:val="20"/>
          <w:color w:val="auto"/>
        </w:rPr>
      </w:pPr>
    </w:p>
    <w:p>
      <w:pPr>
        <w:sectPr>
          <w:pgSz w:w="11900" w:h="16838" w:orient="portrait"/>
          <w:cols w:equalWidth="0" w:num="2">
            <w:col w:w="5320" w:space="720"/>
            <w:col w:w="3020"/>
          </w:cols>
          <w:pgMar w:left="1420" w:top="125" w:right="1419" w:bottom="0" w:gutter="0" w:footer="0" w:header="0"/>
          <w:type w:val="continuous"/>
        </w:sectPr>
      </w:pPr>
    </w:p>
    <w:p>
      <w:pPr>
        <w:spacing w:after="0" w:line="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as of January 1, 2019 and September 30, 2019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January 1, 2019 or September 30, 2019.</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Basic net loss per common share is calculated by dividing the net loss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without consideration for potentially dilutive securities. Diluted net loss per share is computed by dividing the net loss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and potentially dilutive securities outstanding for the period determined using the treasury</w:t>
      </w:r>
      <w:r>
        <w:rPr>
          <w:rFonts w:ascii="MS PGothic" w:cs="MS PGothic" w:eastAsia="MS PGothic" w:hAnsi="MS PGothic"/>
          <w:sz w:val="16"/>
          <w:szCs w:val="16"/>
          <w:color w:val="auto"/>
        </w:rPr>
        <w:t>‑</w:t>
      </w:r>
      <w:r>
        <w:rPr>
          <w:rFonts w:ascii="Arial" w:cs="Arial" w:eastAsia="Arial" w:hAnsi="Arial"/>
          <w:sz w:val="16"/>
          <w:szCs w:val="16"/>
          <w:color w:val="auto"/>
        </w:rPr>
        <w:t>stock and if</w:t>
      </w:r>
      <w:r>
        <w:rPr>
          <w:rFonts w:ascii="MS PGothic" w:cs="MS PGothic" w:eastAsia="MS PGothic" w:hAnsi="MS PGothic"/>
          <w:sz w:val="16"/>
          <w:szCs w:val="16"/>
          <w:color w:val="auto"/>
        </w:rPr>
        <w:t>‑</w:t>
      </w:r>
      <w:r>
        <w:rPr>
          <w:rFonts w:ascii="Arial" w:cs="Arial" w:eastAsia="Arial" w:hAnsi="Arial"/>
          <w:sz w:val="16"/>
          <w:szCs w:val="16"/>
          <w:color w:val="auto"/>
        </w:rPr>
        <w:t>converted methods. 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w:t>
      </w:r>
      <w:r>
        <w:rPr>
          <w:rFonts w:ascii="MS PGothic" w:cs="MS PGothic" w:eastAsia="MS PGothic" w:hAnsi="MS PGothic"/>
          <w:sz w:val="16"/>
          <w:szCs w:val="16"/>
          <w:color w:val="auto"/>
        </w:rPr>
        <w:t>‑</w:t>
      </w:r>
      <w:r>
        <w:rPr>
          <w:rFonts w:ascii="Arial" w:cs="Arial" w:eastAsia="Arial" w:hAnsi="Arial"/>
          <w:sz w:val="16"/>
          <w:szCs w:val="16"/>
          <w:color w:val="auto"/>
        </w:rPr>
        <w:t>dilutive and therefore basic and diluted net loss per share were the same for all periods presented.</w:t>
      </w:r>
    </w:p>
    <w:p>
      <w:pPr>
        <w:spacing w:after="0" w:line="205" w:lineRule="exact"/>
        <w:rPr>
          <w:sz w:val="20"/>
          <w:szCs w:val="20"/>
          <w:color w:val="auto"/>
        </w:rPr>
      </w:pPr>
    </w:p>
    <w:p>
      <w:pPr>
        <w:ind w:right="620" w:firstLine="648"/>
        <w:spacing w:after="0" w:line="224" w:lineRule="exact"/>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w:t>
      </w:r>
      <w:r>
        <w:rPr>
          <w:rFonts w:ascii="MS PGothic" w:cs="MS PGothic" w:eastAsia="MS PGothic" w:hAnsi="MS PGothic"/>
          <w:sz w:val="16"/>
          <w:szCs w:val="16"/>
          <w:color w:val="auto"/>
        </w:rPr>
        <w:t>‑</w:t>
      </w:r>
      <w:r>
        <w:rPr>
          <w:rFonts w:ascii="Arial" w:cs="Arial" w:eastAsia="Arial" w:hAnsi="Arial"/>
          <w:sz w:val="16"/>
          <w:szCs w:val="16"/>
          <w:color w:val="auto"/>
        </w:rPr>
        <w:t>dilutive (in common stock equivalent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376,949</w:t>
            </w:r>
          </w:p>
        </w:tc>
        <w:tc>
          <w:tcPr>
            <w:tcW w:w="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2,662,334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2,565,895</w:t>
            </w:r>
          </w:p>
        </w:tc>
        <w:tc>
          <w:tcPr>
            <w:tcW w:w="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3,094,670</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3,018,885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As of September 30, 2019 and 2018, the Company had an obligation to issue warrants to purchase an additional 93,341 shares of common stock to a vendor if a contract is terminated prior to a minimum purchase commitment being</w:t>
      </w:r>
    </w:p>
    <w:p>
      <w:pPr>
        <w:sectPr>
          <w:pgSz w:w="11900" w:h="16838" w:orient="portrait"/>
          <w:cols w:equalWidth="0" w:num="1">
            <w:col w:w="9060"/>
          </w:cols>
          <w:pgMar w:left="1420" w:top="125" w:right="1419" w:bottom="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60"/>
          </w:cols>
          <w:pgMar w:left="1420" w:top="125" w:right="1419" w:bottom="0" w:gutter="0" w:footer="0" w:header="0"/>
          <w:type w:val="continuous"/>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met. No amounts are presented in the table above for this obligation to issue a warrant as the issuance of the warrant is not considered probable.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78" w:lineRule="exact"/>
        <w:rPr>
          <w:sz w:val="20"/>
          <w:szCs w:val="20"/>
          <w:color w:val="auto"/>
        </w:rPr>
      </w:pPr>
    </w:p>
    <w:p>
      <w:pPr>
        <w:ind w:right="140" w:firstLine="648"/>
        <w:spacing w:after="0" w:line="220" w:lineRule="exact"/>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September 30,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inputs (Level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$ 101,255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101,255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$ 101,405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101,255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2018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60" w:type="dxa"/>
            <w:vAlign w:val="bottom"/>
            <w:gridSpan w:val="2"/>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$ 42,608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$ 42,758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gridSpan w:val="2"/>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36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company, and the fair value of the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nine months ended September 30, 2019 or in any prior period.</w:t>
      </w:r>
    </w:p>
    <w:p>
      <w:pPr>
        <w:sectPr>
          <w:pgSz w:w="11900" w:h="16838" w:orient="portrait"/>
          <w:cols w:equalWidth="0" w:num="1">
            <w:col w:w="9140"/>
          </w:cols>
          <w:pgMar w:left="1420" w:top="125" w:right="13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140"/>
          </w:cols>
          <w:pgMar w:left="1420" w:top="125" w:right="133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convertible note is held as an available-for-sale investment, which is carried at fair market value, with the unrealized gains and losses included in the determination of comprehensive income and reporting stockholders equity. When determining the estimated fair value of the convertible notes, the Company used a commonly accepted valuation methodology.</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Equity investments that do not result in consolidation and are not accounted for under the equity method are measured at fair value, with any changes in fair value recognized in net income. For any such investments that do not have readily determinable fair values, the Company elects the measurement alternative to measure the investments at cost minus impairment, if any, plus or minus changes resulting from observable price changes in orderly transactions for the identical or a similar investment of the same issuer.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 and other non-current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2019</w:t>
            </w:r>
          </w:p>
        </w:tc>
        <w:tc>
          <w:tcPr>
            <w:tcW w:w="14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Accrued royalties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80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3,539</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9"/>
        </w:trPr>
        <w:tc>
          <w:tcPr>
            <w:tcW w:w="5580" w:type="dxa"/>
            <w:vAlign w:val="bottom"/>
            <w:gridSpan w:val="3"/>
          </w:tcPr>
          <w:p>
            <w:pPr>
              <w:ind w:left="660"/>
              <w:spacing w:after="0"/>
              <w:rPr>
                <w:sz w:val="20"/>
                <w:szCs w:val="20"/>
                <w:color w:val="auto"/>
              </w:rPr>
            </w:pPr>
            <w:r>
              <w:rPr>
                <w:rFonts w:ascii="Arial" w:cs="Arial" w:eastAsia="Arial" w:hAnsi="Arial"/>
                <w:sz w:val="18"/>
                <w:szCs w:val="18"/>
                <w:color w:val="auto"/>
                <w:w w:val="93"/>
              </w:rPr>
              <w:t>Other non-current liabilities consist of the following (in thousands):</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4"/>
        </w:trPr>
        <w:tc>
          <w:tcPr>
            <w:tcW w:w="3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3"/>
              </w:rPr>
              <w:t>September 30, 2019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obligation incentive</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Deferred Rent</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1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non-current liabilities</w:t>
            </w:r>
          </w:p>
        </w:tc>
        <w:tc>
          <w:tcPr>
            <w:tcW w:w="1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right="1760" w:firstLine="3"/>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spacing w:after="0" w:line="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July 2, 2019, 66,041 warrants were exercised by a holder on a net, non-cash, basis. Per terms of the warrant agreement, the Company issued 45,690 shares of common stock with a value equal to the holder’s gain. The Company issued no warrants during the nine months ended September 30, 2019, and had 10,000 warrants outstanding as of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all stock awards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As of September 30, 2019, under the 2007 Stock Option and Grant Plan (the 2007 Plan), options to purchase 1,324,255 shares of common stock were outstanding and no shares of common stock were available for future awards. In connection with the completion of the IPO, the Company terminated the 2007 Plan.</w:t>
      </w:r>
    </w:p>
    <w:p>
      <w:pPr>
        <w:spacing w:after="0" w:line="166"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6"/>
          <w:szCs w:val="16"/>
          <w:color w:val="auto"/>
        </w:rPr>
        <w:t>In December 2017, the Company adopted the 2017 Employee, Director and Consultant Equity Incentive Plan (the 2017 Plan), under which it may grant incentive stock options,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options, restricted stock,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Upon its adoption,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894,761 on January 1, 2019 due to this provision. As of September 30, 2019, under the 2017 Plan, options to purchase 1,338,079 shares of common stock</w:t>
      </w:r>
    </w:p>
    <w:p>
      <w:pPr>
        <w:sectPr>
          <w:pgSz w:w="11900" w:h="16838" w:orient="portrait"/>
          <w:cols w:equalWidth="0" w:num="1">
            <w:col w:w="9140"/>
          </w:cols>
          <w:pgMar w:left="1420" w:top="125" w:right="13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were outstanding and unvested restricted stock units for 422,336 shares of common stock were outstanding. As of September 30, 2019, 207,589 shares were available for grant under the 2017 Plan.</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223,690 on January 1, 2019 due to this provision. As of September 30, 2019, the 2017 ESPP allowed for the issuance of up to 649,223 shares of common stock and 612,470 shares were available for issuance under the 2017 ESPP.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w:t>
      </w:r>
      <w:r>
        <w:rPr>
          <w:rFonts w:ascii="MS PGothic" w:cs="MS PGothic" w:eastAsia="MS PGothic" w:hAnsi="MS PGothic"/>
          <w:sz w:val="17"/>
          <w:szCs w:val="17"/>
          <w:color w:val="auto"/>
        </w:rPr>
        <w:t>‑</w:t>
      </w:r>
      <w:r>
        <w:rPr>
          <w:rFonts w:ascii="Arial" w:cs="Arial" w:eastAsia="Arial" w:hAnsi="Arial"/>
          <w:sz w:val="17"/>
          <w:szCs w:val="17"/>
          <w:color w:val="auto"/>
        </w:rPr>
        <w:t>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Remaining contractual</w:t>
            </w:r>
          </w:p>
        </w:tc>
        <w:tc>
          <w:tcPr>
            <w:tcW w:w="14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Aggregate intrinsic value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tcPr>
          <w:p>
            <w:pPr>
              <w:jc w:val="right"/>
              <w:ind w:right="236"/>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2,476,911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w:t>
            </w: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818,918</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(311,245)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2,662,334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23,476</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Vested and expected to vest at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September 30, 2019</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2,662,334</w:t>
            </w:r>
          </w:p>
        </w:tc>
        <w:tc>
          <w:tcPr>
            <w:tcW w:w="8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23,476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1,234,533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Using the Black-Scholes option pricing model, the weighted-average fair value of options granted to employees and directors during the nine months ended September 30, 2019 and 2018 was $8.85 and $7.32 per share, respectively. The expense related to awards granted to employees was $1.0 million and $2.7 million for the three and nine months ended September 30, 2019, respectively. The expense related to awards granted to employees was $0.7 million and $1.8 million for the three and nine months ended September 30, 2018, respectively. The intrinsic value of stock options exercised was $1.3 million and $5.5 million for the three and nine months ended September 30, 2019, respectively. The intrinsic value of stock options exercised was $0.6 million and $3.4 million for the three and nine months ended September 30, 2018, respectively. Activity related to non-employee awards was not material to the three and nine months ended September 30, 2019 and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common stock awards were granted or vested during the nine months ended September 30,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nine months ended September 30, 2019, the Company issued 227,653 RSUs to employees of the Company under the 2017 Plan. Under the terms of the agreements, 135,058 of the RSUs issued are subject to a four-year vesting schedule with 25% vesting on the first anniversary of the grant date and the remaining vesting 75% ratably on</w:t>
      </w:r>
    </w:p>
    <w:p>
      <w:pPr>
        <w:spacing w:after="0" w:line="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 monthly basis over the remaining three years; 15,890 of the RSUs vest on December 31, 2019; 24,233 of the RSUs vest in equal amounts annually over four years; 10,194 of the RSUs vested with respect to 5/48</w:t>
      </w:r>
      <w:r>
        <w:rPr>
          <w:rFonts w:ascii="Arial" w:cs="Arial" w:eastAsia="Arial" w:hAnsi="Arial"/>
          <w:sz w:val="7"/>
          <w:szCs w:val="7"/>
          <w:color w:val="auto"/>
        </w:rPr>
        <w:t>th</w:t>
      </w:r>
      <w:r>
        <w:rPr>
          <w:rFonts w:ascii="Arial" w:cs="Arial" w:eastAsia="Arial" w:hAnsi="Arial"/>
          <w:sz w:val="16"/>
          <w:szCs w:val="16"/>
          <w:color w:val="auto"/>
        </w:rPr>
        <w:t xml:space="preserve"> of the shares on the date of grant with the rest vesting ratably over the remaining 43 months; 31,732 of the RSUs vested with respect to 1,983 shares vesting on the grant date with the rest vesting ratably over the remaining 45 months; 4,540 of the RSUs vest</w:t>
      </w:r>
    </w:p>
    <w:p>
      <w:pPr>
        <w:sectPr>
          <w:pgSz w:w="11900" w:h="16838" w:orient="portrait"/>
          <w:cols w:equalWidth="0" w:num="1">
            <w:col w:w="9060"/>
          </w:cols>
          <w:pgMar w:left="1420" w:top="125"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equally over three years on the anniversary of the vesting start date; 3000 of the RSUs vest upon the one year anniversary of the grant date; and 3,006 vested immediately upon grant. A summary of RSU activity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227,653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(42,983)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September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422,336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expense related to awards granted to employees and directors was $0.8 million and $2.0 million for the three and nine months ended September 30, 2019, respectively, and $1.1 million and $1.2 million for the three and nine months ended September 30, 2018, respectively.</w:t>
      </w:r>
    </w:p>
    <w:p>
      <w:pPr>
        <w:spacing w:after="0" w:line="181" w:lineRule="exact"/>
        <w:rPr>
          <w:sz w:val="20"/>
          <w:szCs w:val="20"/>
          <w:color w:val="auto"/>
        </w:rPr>
      </w:pPr>
    </w:p>
    <w:p>
      <w:pPr>
        <w:ind w:right="140" w:firstLine="648"/>
        <w:spacing w:after="0" w:line="224" w:lineRule="exact"/>
        <w:rPr>
          <w:sz w:val="20"/>
          <w:szCs w:val="20"/>
          <w:color w:val="auto"/>
        </w:rPr>
      </w:pPr>
      <w:r>
        <w:rPr>
          <w:rFonts w:ascii="Arial" w:cs="Arial" w:eastAsia="Arial" w:hAnsi="Arial"/>
          <w:sz w:val="16"/>
          <w:szCs w:val="16"/>
          <w:color w:val="auto"/>
        </w:rPr>
        <w:t>At September 30, 2019, there was $7.6 million of total unrecognized compensation cost related to unvested restricted stock units, which is expected to be recognized over the remaining weighted</w:t>
      </w:r>
      <w:r>
        <w:rPr>
          <w:rFonts w:ascii="MS PGothic" w:cs="MS PGothic" w:eastAsia="MS PGothic" w:hAnsi="MS PGothic"/>
          <w:sz w:val="16"/>
          <w:szCs w:val="16"/>
          <w:color w:val="auto"/>
        </w:rPr>
        <w:t>‑</w:t>
      </w:r>
      <w:r>
        <w:rPr>
          <w:rFonts w:ascii="Arial" w:cs="Arial" w:eastAsia="Arial" w:hAnsi="Arial"/>
          <w:sz w:val="16"/>
          <w:szCs w:val="16"/>
          <w:color w:val="auto"/>
        </w:rPr>
        <w:t>average vesting period of 2.94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September 30, 2019 and 2018, and nine months ended September 30, 2019 and 2018, the Company recorded royalty expense of $0.3 million, $0.2 million, $0.7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$0.5 million, respectively, in cost of product revenue on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commitment</w:t>
      </w:r>
    </w:p>
    <w:p>
      <w:pPr>
        <w:spacing w:after="0" w:line="225" w:lineRule="exact"/>
        <w:rPr>
          <w:sz w:val="20"/>
          <w:szCs w:val="20"/>
          <w:color w:val="auto"/>
        </w:rPr>
      </w:pPr>
    </w:p>
    <w:p>
      <w:pPr>
        <w:ind w:right="180" w:firstLine="648"/>
        <w:spacing w:after="0" w:line="217" w:lineRule="exact"/>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w:t>
      </w:r>
      <w:r>
        <w:rPr>
          <w:rFonts w:ascii="MS PGothic" w:cs="MS PGothic" w:eastAsia="MS PGothic" w:hAnsi="MS PGothic"/>
          <w:sz w:val="16"/>
          <w:szCs w:val="16"/>
          <w:color w:val="auto"/>
        </w:rPr>
        <w:t>‑</w:t>
      </w:r>
      <w:r>
        <w:rPr>
          <w:rFonts w:ascii="Arial" w:cs="Arial" w:eastAsia="Arial" w:hAnsi="Arial"/>
          <w:sz w:val="16"/>
          <w:szCs w:val="16"/>
          <w:color w:val="auto"/>
        </w:rPr>
        <w:t>exclusive, non</w:t>
      </w:r>
      <w:r>
        <w:rPr>
          <w:rFonts w:ascii="MS PGothic" w:cs="MS PGothic" w:eastAsia="MS PGothic" w:hAnsi="MS PGothic"/>
          <w:sz w:val="16"/>
          <w:szCs w:val="16"/>
          <w:color w:val="auto"/>
        </w:rPr>
        <w:t>‑</w:t>
      </w:r>
      <w:r>
        <w:rPr>
          <w:rFonts w:ascii="Arial" w:cs="Arial" w:eastAsia="Arial" w:hAnsi="Arial"/>
          <w:sz w:val="16"/>
          <w:szCs w:val="16"/>
          <w:color w:val="auto"/>
        </w:rPr>
        <w:t>sublicensable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w:t>
      </w:r>
      <w:r>
        <w:rPr>
          <w:rFonts w:ascii="MS PGothic" w:cs="MS PGothic" w:eastAsia="MS PGothic" w:hAnsi="MS PGothic"/>
          <w:sz w:val="16"/>
          <w:szCs w:val="16"/>
          <w:color w:val="auto"/>
        </w:rPr>
        <w:t>‑</w:t>
      </w:r>
      <w:r>
        <w:rPr>
          <w:rFonts w:ascii="Arial" w:cs="Arial" w:eastAsia="Arial" w:hAnsi="Arial"/>
          <w:sz w:val="16"/>
          <w:szCs w:val="16"/>
          <w:color w:val="auto"/>
        </w:rPr>
        <w:t>single digit royalty. The Company is required to make mid</w:t>
      </w:r>
      <w:r>
        <w:rPr>
          <w:rFonts w:ascii="MS PGothic" w:cs="MS PGothic" w:eastAsia="MS PGothic" w:hAnsi="MS PGothic"/>
          <w:sz w:val="16"/>
          <w:szCs w:val="16"/>
          <w:color w:val="auto"/>
        </w:rPr>
        <w:t>‑</w:t>
      </w:r>
      <w:r>
        <w:rPr>
          <w:rFonts w:ascii="Arial" w:cs="Arial" w:eastAsia="Arial" w:hAnsi="Arial"/>
          <w:sz w:val="16"/>
          <w:szCs w:val="16"/>
          <w:color w:val="auto"/>
        </w:rPr>
        <w:t>single digit royalty payments on net sales of products and services which utilize the licensed technology. In September 2019, all remaining patents related to the intellectual property expired and the license agreement terminated. During each of the three months ended September 30, 2019 and 2018, and nine months ended September 30, 2019 and 2018, the Company recorded royalty expense of less than $0.1 million in cost of product revenue on the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During the year ended December 31, 2014, the Company entered into a lease agreement for the Company's corporate headquarters in Lexington, Massachusetts with a lease term that was to expire in June 2020; however, in November 2018, the Company agreed to terminate the lease with the lessor effective May 31, 2019. The lease was terminated in connection with the Company signing a new lease for facilities in Billerica, Massachusetts. On October 2, 2018, the Company entered into a 137-month operating lease for the Company's new headquarters in Billerica, Massachusetts. The lease contains a period of free rent and escalating monthly rent payments. As part of the lease, the Company was required to enter into a $1.0 million Letter of Credit drawable by the lessor under specifically outlined conditions. The amount of the Letter of Credit will be reduced at 41 and 65 months after the commencement date of the lease to $750,000 and then $250,000, respectively. The $1.0 million Letter of Credit is recorded as restricted cash on the balance sheet.</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Massachusetts. In August 2018, the Company terminated the Aushon lease effective September 1, 2019. The Company was required to pay a termination fee no later than July 1, 2019 in consideration for the early termination, which was paid in February 2019.</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connection with the acquisition of Uman in August 2019, the Company assumed the existing Uman leases for the facilities in Umeå, Sweden.</w:t>
      </w:r>
    </w:p>
    <w:p>
      <w:pPr>
        <w:spacing w:after="0" w:line="170"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Rent expense is recognized straight</w:t>
      </w:r>
      <w:r>
        <w:rPr>
          <w:rFonts w:ascii="MS PGothic" w:cs="MS PGothic" w:eastAsia="MS PGothic" w:hAnsi="MS PGothic"/>
          <w:sz w:val="18"/>
          <w:szCs w:val="18"/>
          <w:color w:val="auto"/>
        </w:rPr>
        <w:t>‑</w:t>
      </w:r>
      <w:r>
        <w:rPr>
          <w:rFonts w:ascii="Arial" w:cs="Arial" w:eastAsia="Arial" w:hAnsi="Arial"/>
          <w:sz w:val="18"/>
          <w:szCs w:val="18"/>
          <w:color w:val="auto"/>
        </w:rPr>
        <w:t>line over the course of the lease term. As of September 30, 2019, $2.6 million of deferred rent expense was recorded in other non</w:t>
      </w:r>
      <w:r>
        <w:rPr>
          <w:rFonts w:ascii="MS PGothic" w:cs="MS PGothic" w:eastAsia="MS PGothic" w:hAnsi="MS PGothic"/>
          <w:sz w:val="18"/>
          <w:szCs w:val="18"/>
          <w:color w:val="auto"/>
        </w:rPr>
        <w:t>‑</w:t>
      </w:r>
      <w:r>
        <w:rPr>
          <w:rFonts w:ascii="Arial" w:cs="Arial" w:eastAsia="Arial" w:hAnsi="Arial"/>
          <w:sz w:val="18"/>
          <w:szCs w:val="18"/>
          <w:color w:val="auto"/>
        </w:rPr>
        <w:t>current liabilities. The table below includes committed lease expenditures related to the Company’s leases.</w:t>
      </w:r>
    </w:p>
    <w:p>
      <w:pPr>
        <w:sectPr>
          <w:pgSz w:w="11900" w:h="16838" w:orient="portrait"/>
          <w:cols w:equalWidth="0" w:num="1">
            <w:col w:w="9060"/>
          </w:cols>
          <w:pgMar w:left="1420" w:top="125" w:right="1419" w:bottom="82"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60"/>
          </w:cols>
          <w:pgMar w:left="1420" w:top="125" w:right="1419" w:bottom="82" w:gutter="0" w:footer="0" w:header="0"/>
          <w:type w:val="continuous"/>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September 30, 2019, the minimum future rent payments under the lease agreements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2023 and Forward</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29,208</w:t>
            </w:r>
          </w:p>
        </w:tc>
      </w:tr>
      <w:tr>
        <w:trPr>
          <w:trHeight w:val="210"/>
        </w:trPr>
        <w:tc>
          <w:tcPr>
            <w:tcW w:w="796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38,940</w:t>
            </w:r>
          </w:p>
        </w:tc>
      </w:tr>
    </w:tbl>
    <w:p>
      <w:pPr>
        <w:spacing w:after="0" w:line="202"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The Company recorded $0.7 million, $0.4 million, $2.6 million and $1.0 million in rent expense for the three months ended September 30, 2019 and 2018, and the nine months ended September 30, 2019 and 2018,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supply agreement</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upon completion of the development activities. This amount is being recorded to research and development expense and accrued expenses as the services are performed. The services were completed during the year ended December 31, 2018. Substantive efforts related to these additional development activities started in the first quarter of 2019 and were completed in the third quarter of 2019.</w:t>
      </w:r>
    </w:p>
    <w:p>
      <w:pPr>
        <w:spacing w:after="0" w:line="165" w:lineRule="exact"/>
        <w:rPr>
          <w:sz w:val="20"/>
          <w:szCs w:val="20"/>
          <w:color w:val="auto"/>
        </w:rPr>
      </w:pPr>
    </w:p>
    <w:p>
      <w:pPr>
        <w:ind w:right="120" w:firstLine="648"/>
        <w:spacing w:after="0" w:line="217" w:lineRule="exact"/>
        <w:rPr>
          <w:sz w:val="20"/>
          <w:szCs w:val="20"/>
          <w:color w:val="auto"/>
        </w:rPr>
      </w:pPr>
      <w:r>
        <w:rPr>
          <w:rFonts w:ascii="Arial" w:cs="Arial" w:eastAsia="Arial" w:hAnsi="Arial"/>
          <w:sz w:val="17"/>
          <w:szCs w:val="17"/>
          <w:color w:val="auto"/>
        </w:rPr>
        <w:t>The Company’s supply agreement with STRATEC Biomedical requires the Company to purchase a minimum number of commercial units over a seven</w:t>
      </w:r>
      <w:r>
        <w:rPr>
          <w:rFonts w:ascii="MS PGothic" w:cs="MS PGothic" w:eastAsia="MS PGothic" w:hAnsi="MS PGothic"/>
          <w:sz w:val="17"/>
          <w:szCs w:val="17"/>
          <w:color w:val="auto"/>
        </w:rPr>
        <w:t>‑</w:t>
      </w:r>
      <w:r>
        <w:rPr>
          <w:rFonts w:ascii="Arial" w:cs="Arial" w:eastAsia="Arial" w:hAnsi="Arial"/>
          <w:sz w:val="17"/>
          <w:szCs w:val="17"/>
          <w:color w:val="auto"/>
        </w:rPr>
        <w:t>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September 30, 2019, assuming no additional commercial units were purchased, this fee would equal $10.3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September 30, 2019 and December 31, 2018 was insignificant as there was a low probability of the warrants being issued.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right="7720" w:firstLine="3"/>
        <w:spacing w:after="0" w:line="604" w:lineRule="auto"/>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ind w:right="140" w:firstLine="648"/>
        <w:spacing w:after="0" w:line="290" w:lineRule="auto"/>
        <w:rPr>
          <w:sz w:val="20"/>
          <w:szCs w:val="20"/>
          <w:color w:val="auto"/>
        </w:rPr>
      </w:pPr>
      <w:r>
        <w:rPr>
          <w:rFonts w:ascii="Arial" w:cs="Arial" w:eastAsia="Arial" w:hAnsi="Arial"/>
          <w:sz w:val="16"/>
          <w:szCs w:val="16"/>
          <w:color w:val="auto"/>
        </w:rPr>
        <w:t>On April 14, 2014, the Company executed a Loan Agreement with a lender, as subsequently amended multiple times, most recently in April 2019. As of September 30, 2019, there were no additional amounts available to borrow under the debt facility. The interest rate on this term loan is variable based on a calculation of the prime rate less 5.25% with a minimum interest rate of 8.25%.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No end of term charges or principal payments were paid during the nine months ended September 30, 2019. On April 15, 2019, the Company signed Amendment 7 to the Loan Agreement, which extends the interest only payment period through July 1, 2021 and also extends the maturity date until October 1, 2021. As part of this Amendment 7, a “2019 End of Term Fee” for $50,000 was added to the Loan Agreement due on the earliest to occur of (i) the Term Loan Maturity Date,</w:t>
      </w:r>
    </w:p>
    <w:p>
      <w:pPr>
        <w:spacing w:after="0" w:line="2" w:lineRule="exact"/>
        <w:rPr>
          <w:sz w:val="20"/>
          <w:szCs w:val="20"/>
          <w:color w:val="auto"/>
        </w:rPr>
      </w:pPr>
    </w:p>
    <w:p>
      <w:pPr>
        <w:jc w:val="both"/>
        <w:ind w:right="100" w:firstLine="3"/>
        <w:spacing w:after="0" w:line="253"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that the Company prepays the outstanding Secured Obligations and (iii) the date that the Secured Obligations become due and payable. In addition, the Company is required to pay the loan principal in five equal installments starting July 1, 2021 with the final principal payment to be made on October 1, 2021. As of September 30, 2019, the remaining loan balance is classified as a long term liability since all principal payments are due greater than twelve months after the balance sheet date.</w:t>
      </w:r>
    </w:p>
    <w:p>
      <w:pPr>
        <w:sectPr>
          <w:pgSz w:w="11900" w:h="16838" w:orient="portrait"/>
          <w:cols w:equalWidth="0" w:num="1">
            <w:col w:w="9060"/>
          </w:cols>
          <w:pgMar w:left="1420" w:top="125" w:right="1419" w:bottom="69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69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debt payment obligations due based on principal payments are as follows (in thousands):</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40" w:type="dxa"/>
            <w:vAlign w:val="bottom"/>
            <w:shd w:val="clear" w:color="auto" w:fill="CCEEFF"/>
          </w:tcPr>
          <w:p>
            <w:pPr>
              <w:jc w:val="right"/>
              <w:ind w:right="5790"/>
              <w:spacing w:after="0"/>
              <w:rPr>
                <w:sz w:val="20"/>
                <w:szCs w:val="20"/>
                <w:color w:val="auto"/>
              </w:rPr>
            </w:pPr>
            <w:r>
              <w:rPr>
                <w:rFonts w:ascii="Arial" w:cs="Arial" w:eastAsia="Arial" w:hAnsi="Arial"/>
                <w:sz w:val="18"/>
                <w:szCs w:val="18"/>
                <w:color w:val="auto"/>
              </w:rPr>
              <w:t>2019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jc w:val="right"/>
              <w:ind w:right="57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jc w:val="right"/>
              <w:ind w:right="579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10"/>
        </w:trPr>
        <w:tc>
          <w:tcPr>
            <w:tcW w:w="6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bl>
    <w:p>
      <w:pPr>
        <w:spacing w:after="0" w:line="202"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interest expense related to debt discount amortization and accretion of end of term fees was $0.1 million or less for each of the three months ended September 30, 2019 and 2018, and nine months ended September 30, 2019 and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and license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and license agreement</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2012, the Company entered into a Joint Development and License Agreement (the JDLA) with bioMérieux SA, a related party. The JDLA was amended in 2016 (the Amended JDLA). Following the amendment, a total of $3.2 million of consideration was assigned to the deliverables and collaboration activities outlined in the Amended JDLA. The consideration of $3.2 million was recognized over the performance period which began in the fourth quarter 2016. On September 6, 2018, bioMérieux notified the Company that it was terminating the Amended JDLA, forfeiting any future IVD licensing rights to the Company’s Simoa technology and enabling the Company to consolidate and regain control of all Simoa IVD licensing and IP rights. As a result of the termination, the Company recognized $1.6 million in previously deferred collaboration revenue related to the agreement during the three months ended 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option agreements and license agreement</w:t>
      </w:r>
    </w:p>
    <w:p>
      <w:pPr>
        <w:spacing w:after="0" w:line="19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w:t>
      </w:r>
      <w:r>
        <w:rPr>
          <w:rFonts w:ascii="MS PGothic" w:cs="MS PGothic" w:eastAsia="MS PGothic" w:hAnsi="MS PGothic"/>
          <w:sz w:val="18"/>
          <w:szCs w:val="18"/>
          <w:color w:val="auto"/>
        </w:rPr>
        <w:t>‑</w:t>
      </w:r>
      <w:r>
        <w:rPr>
          <w:rFonts w:ascii="Arial" w:cs="Arial" w:eastAsia="Arial" w:hAnsi="Arial"/>
          <w:sz w:val="18"/>
          <w:szCs w:val="18"/>
          <w:color w:val="auto"/>
        </w:rPr>
        <w:t>refundable payments totaling $2.0 million. In December 2016, the diagnostic company exercised one of its options and the parties entered into a non-exclusive license agreement in one of the fields. This agreement has a one</w:t>
      </w:r>
      <w:r>
        <w:rPr>
          <w:rFonts w:ascii="MS PGothic" w:cs="MS PGothic" w:eastAsia="MS PGothic" w:hAnsi="MS PGothic"/>
          <w:sz w:val="18"/>
          <w:szCs w:val="18"/>
          <w:color w:val="auto"/>
        </w:rPr>
        <w:t>‑</w:t>
      </w:r>
      <w:r>
        <w:rPr>
          <w:rFonts w:ascii="Arial" w:cs="Arial" w:eastAsia="Arial" w:hAnsi="Arial"/>
          <w:sz w:val="18"/>
          <w:szCs w:val="18"/>
          <w:color w:val="auto"/>
        </w:rPr>
        <w:t>time non</w:t>
      </w:r>
      <w:r>
        <w:rPr>
          <w:rFonts w:ascii="MS PGothic" w:cs="MS PGothic" w:eastAsia="MS PGothic" w:hAnsi="MS PGothic"/>
          <w:sz w:val="18"/>
          <w:szCs w:val="18"/>
          <w:color w:val="auto"/>
        </w:rPr>
        <w:t>‑</w:t>
      </w:r>
      <w:r>
        <w:rPr>
          <w:rFonts w:ascii="Arial" w:cs="Arial" w:eastAsia="Arial" w:hAnsi="Arial"/>
          <w:sz w:val="18"/>
          <w:szCs w:val="18"/>
          <w:color w:val="auto"/>
        </w:rPr>
        <w:t>refundable license fee of $1.0 million and the right to receive running low single digit royalties on licensed products. The negotiation periods for the other two agreements were extended and the negotiations remain ongoing.</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In December 2018, the Company entered into an option agreement for the rights to negotiate an exclusive license in this field with the diagnostic company. In exchange for the rights to negotiate an exclusive agreement, the Company received $0.5 million in consideration. As the right to negotiate with the Company has not been executed, the consideration from this agreement is deferred until the sooner of the execution of the contract or the end of the option period. Because the negotiations remain ongoing with respect to the other two fields and the options have not been exercised, the consideration allocated to these options of $1.2 million has been deferred and is recorded as deferred revenue as of September 30, 2019 and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sponsors a 401(k) savings plan for its employees. The Company may make discretionary contributions for each 401(k) plan year. During the three and nine months ended September 30, 2019, the Company made contributions of $0.1 million and $0.4 million, respectively. During the three and nine months ended September 30, 2018, the Company made contributions of less than $0.1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UmanDiagnostics AB</w:t>
      </w:r>
    </w:p>
    <w:p>
      <w:pPr>
        <w:spacing w:after="0" w:line="30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accounted for the acquisition of Uman as a purchase of a business under U.S. GAAP. Under the acquisition method of accounting, the assets and liabilities of Uman are recorded as of the acquisition date of July 1, 2019, at their respective fair values, and consolidated with those of the Company.</w:t>
      </w:r>
    </w:p>
    <w:p>
      <w:pPr>
        <w:sectPr>
          <w:pgSz w:w="11900" w:h="16838" w:orient="portrait"/>
          <w:cols w:equalWidth="0" w:num="1">
            <w:col w:w="9060"/>
          </w:cols>
          <w:pgMar w:left="1420" w:top="125" w:right="1419" w:bottom="11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has preliminarily allocated the purchase price to the net tangible and intangible assets based on their estimated fair values as of July 1, 2019. As such, the fair value of the assets acquired and liabilities assumed, including intangible assets, presented in the table below are provisional and will be finalized in a later period once the fair value procedures are completed. Goodwill established as a result of the Uman acquisition is not tax deductible in any taxing jurisdiction.</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net of $1.2 million in cash and cash equivalents acquired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Cash and stock paid</w:t>
            </w:r>
          </w:p>
        </w:tc>
        <w:tc>
          <w:tcPr>
            <w:tcW w:w="2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acquired</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Purchase price, net</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Assets (liabilities) acquired:</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Prepaids and other current assets</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Accrued expense and other current liabilities</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bl>
    <w:p>
      <w:pPr>
        <w:spacing w:after="0" w:line="3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Revenue and net income related to Uman’s operations was $0.4 million and less than $0.1 million, respectively, for the three months following the July 1, 2019 acquisition date, and is included in the Company’s consolidated statements of operations for the three and nine months ended September 30, 2019.</w:t>
      </w:r>
    </w:p>
    <w:p>
      <w:pPr>
        <w:spacing w:after="0" w:line="12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following unaudited pro forma information presents the condensed consolidated results of operations of the Company and Uman for the nine months ended September 30, 2019 and 2018 and the three month period ended September 30, 2018 as if the acquisition of Uman had been completed on January 1, 2018. There was no pro forma impact during the three months ended September 30, 2019.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spacing w:after="0" w:line="11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3"/>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30"/>
        </w:trPr>
        <w:tc>
          <w:tcPr>
            <w:tcW w:w="2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r>
      <w:tr>
        <w:trPr>
          <w:trHeight w:val="210"/>
        </w:trPr>
        <w:tc>
          <w:tcPr>
            <w:tcW w:w="28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2018</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 (unaudited)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41,593</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Pre-tax loss (unaudited)</w:t>
            </w:r>
          </w:p>
        </w:tc>
        <w:tc>
          <w:tcPr>
            <w:tcW w:w="1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(7,898)</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(27,841)</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(24,254)</w:t>
            </w:r>
          </w:p>
        </w:tc>
      </w:tr>
    </w:tbl>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During the three and nine months ended September 30, 2019, the Company incurred $1.0 million and $1.9 million, respectively, in costs associated with the acquisition of Uman. Costs associated with the acquisition Uman are recorded as selling, general, and administrative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the carrying amount of goodwill was $9.0 million. The following is a rollforward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goodwill balance (in thousands):</w:t>
      </w:r>
    </w:p>
    <w:p>
      <w:pPr>
        <w:sectPr>
          <w:pgSz w:w="11900" w:h="16838" w:orient="portrait"/>
          <w:cols w:equalWidth="0" w:num="1">
            <w:col w:w="9060"/>
          </w:cols>
          <w:pgMar w:left="1420" w:top="125" w:right="1419" w:bottom="15"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575437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Goodwill acquired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Cumulative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10"/>
        <w:spacing w:after="0"/>
        <w:rPr>
          <w:sz w:val="20"/>
          <w:szCs w:val="20"/>
          <w:color w:val="auto"/>
        </w:rPr>
      </w:pPr>
      <w:r>
        <w:rPr>
          <w:rFonts w:ascii="Arial" w:cs="Arial" w:eastAsia="Arial" w:hAnsi="Arial"/>
          <w:sz w:val="14"/>
          <w:szCs w:val="14"/>
          <w:b w:val="1"/>
          <w:bCs w:val="1"/>
          <w:color w:val="auto"/>
        </w:rPr>
        <w:t>Goodwill</w:t>
      </w:r>
    </w:p>
    <w:p>
      <w:pPr>
        <w:spacing w:after="0" w:line="25" w:lineRule="exact"/>
        <w:rPr>
          <w:sz w:val="20"/>
          <w:szCs w:val="20"/>
          <w:color w:val="auto"/>
        </w:rPr>
      </w:pPr>
    </w:p>
    <w:p>
      <w:pPr>
        <w:ind w:left="710" w:hanging="710"/>
        <w:spacing w:after="0"/>
        <w:tabs>
          <w:tab w:leader="none" w:pos="71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1,308</w:t>
      </w:r>
    </w:p>
    <w:p>
      <w:pPr>
        <w:spacing w:after="0" w:line="7" w:lineRule="exact"/>
        <w:rPr>
          <w:rFonts w:ascii="Arial" w:cs="Arial" w:eastAsia="Arial" w:hAnsi="Arial"/>
          <w:sz w:val="18"/>
          <w:szCs w:val="18"/>
          <w:color w:val="auto"/>
        </w:rPr>
      </w:pPr>
    </w:p>
    <w:p>
      <w:pPr>
        <w:ind w:left="710"/>
        <w:spacing w:after="0"/>
        <w:rPr>
          <w:rFonts w:ascii="Arial" w:cs="Arial" w:eastAsia="Arial" w:hAnsi="Arial"/>
          <w:sz w:val="18"/>
          <w:szCs w:val="18"/>
          <w:color w:val="auto"/>
        </w:rPr>
      </w:pPr>
      <w:r>
        <w:rPr>
          <w:rFonts w:ascii="Arial" w:cs="Arial" w:eastAsia="Arial" w:hAnsi="Arial"/>
          <w:sz w:val="18"/>
          <w:szCs w:val="18"/>
          <w:color w:val="auto"/>
        </w:rPr>
        <w:t>8,111</w:t>
      </w:r>
    </w:p>
    <w:p>
      <w:pPr>
        <w:spacing w:after="0" w:line="9" w:lineRule="exact"/>
        <w:rPr>
          <w:rFonts w:ascii="Arial" w:cs="Arial" w:eastAsia="Arial" w:hAnsi="Arial"/>
          <w:sz w:val="18"/>
          <w:szCs w:val="18"/>
          <w:color w:val="auto"/>
        </w:rPr>
      </w:pPr>
    </w:p>
    <w:p>
      <w:pPr>
        <w:ind w:left="790"/>
        <w:spacing w:after="0"/>
        <w:rPr>
          <w:rFonts w:ascii="Arial" w:cs="Arial" w:eastAsia="Arial" w:hAnsi="Arial"/>
          <w:sz w:val="18"/>
          <w:szCs w:val="18"/>
          <w:color w:val="auto"/>
        </w:rPr>
      </w:pPr>
      <w:r>
        <w:rPr>
          <w:rFonts w:ascii="Arial" w:cs="Arial" w:eastAsia="Arial" w:hAnsi="Arial"/>
          <w:sz w:val="16"/>
          <w:szCs w:val="16"/>
          <w:color w:val="auto"/>
        </w:rPr>
        <w:t>(458)</w:t>
      </w:r>
    </w:p>
    <w:p>
      <w:pPr>
        <w:spacing w:after="0" w:line="32" w:lineRule="exact"/>
        <w:rPr>
          <w:sz w:val="20"/>
          <w:szCs w:val="20"/>
          <w:color w:val="auto"/>
        </w:rPr>
      </w:pPr>
    </w:p>
    <w:p>
      <w:pPr>
        <w:ind w:left="710" w:hanging="710"/>
        <w:spacing w:after="0"/>
        <w:tabs>
          <w:tab w:leader="none" w:pos="710" w:val="left"/>
        </w:tabs>
        <w:numPr>
          <w:ilvl w:val="0"/>
          <w:numId w:val="7"/>
        </w:numPr>
        <w:rPr>
          <w:rFonts w:ascii="Arial" w:cs="Arial" w:eastAsia="Arial" w:hAnsi="Arial"/>
          <w:sz w:val="18"/>
          <w:szCs w:val="18"/>
          <w:color w:val="auto"/>
        </w:rPr>
      </w:pPr>
      <w:r>
        <w:rPr>
          <w:rFonts w:ascii="Arial" w:cs="Arial" w:eastAsia="Arial" w:hAnsi="Arial"/>
          <w:sz w:val="18"/>
          <w:szCs w:val="18"/>
          <w:color w:val="auto"/>
        </w:rPr>
        <w:t>8,961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61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70" w:space="720"/>
            <w:col w:w="1170"/>
          </w:cols>
          <w:pgMar w:left="1420" w:top="125" w:right="1419" w:bottom="15"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60"/>
          </w:cols>
          <w:pgMar w:left="1420" w:top="125" w:right="1419" w:bottom="15" w:gutter="0" w:footer="0" w:header="0"/>
          <w:type w:val="continuous"/>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as of September 30, 2019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0"/>
                <w:szCs w:val="10"/>
                <w:color w:val="auto"/>
              </w:rPr>
            </w:pPr>
          </w:p>
        </w:tc>
        <w:tc>
          <w:tcPr>
            <w:tcW w:w="10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Cumulative</w:t>
            </w:r>
          </w:p>
        </w:tc>
        <w:tc>
          <w:tcPr>
            <w:tcW w:w="16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8"/>
                <w:szCs w:val="18"/>
                <w:color w:val="auto"/>
              </w:rPr>
              <w:t>Know-how</w:t>
            </w:r>
          </w:p>
        </w:tc>
        <w:tc>
          <w:tcPr>
            <w:tcW w:w="1080" w:type="dxa"/>
            <w:vAlign w:val="bottom"/>
          </w:tcPr>
          <w:p>
            <w:pPr>
              <w:jc w:val="right"/>
              <w:ind w:right="35"/>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 names</w:t>
            </w:r>
          </w:p>
        </w:tc>
        <w:tc>
          <w:tcPr>
            <w:tcW w:w="1080" w:type="dxa"/>
            <w:vAlign w:val="bottom"/>
          </w:tcPr>
          <w:p>
            <w:pPr>
              <w:jc w:val="right"/>
              <w:ind w:right="395"/>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as of December 31, 2018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acquired $13.5 million of intangible assets in the Uman acquisition, of which $13.0 million was assigned to know-how, $0.4 million was assigned to non-compete agreements, and $0.1 million was assigned to customer relationships. The know-how and customer relationships intangible assets are being amortized on a straight-line basis over an 8.5 year amortization period, and the non-compete agreement intangible asset is being amortized on a straight-line basis over a 5.5 year amortization period. In total, the weighted-average amortization period for these intangible assets is 8.4 years.</w:t>
      </w:r>
    </w:p>
    <w:p>
      <w:pPr>
        <w:spacing w:after="0" w:line="11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is currently evaluating the fair value of assets acquired and liabilities assumed from the Uman acquisition, including intangible assets and their related amortization periods. As such, the $13.5 million in intangible assets presented in the table above are provisional and will be finalized in a later period once the fair value procedures are completed.</w:t>
      </w:r>
    </w:p>
    <w:p>
      <w:pPr>
        <w:spacing w:after="0" w:line="16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recorded amortization expense of $0.5 million and $0.8 million for the three and nine months ended September 30, 2019, respectively, and $0.2 million and $0.4 million for the three and nine months ended September 30, 2018,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goods sold.</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September 30, 2019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Pr>
          <w:p>
            <w:pPr>
              <w:spacing w:after="0"/>
              <w:rPr>
                <w:sz w:val="14"/>
                <w:szCs w:val="14"/>
                <w:color w:val="auto"/>
              </w:rPr>
            </w:pPr>
          </w:p>
        </w:tc>
        <w:tc>
          <w:tcPr>
            <w:tcW w:w="226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10"/>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16"/>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w:t>
            </w:r>
          </w:p>
        </w:tc>
      </w:tr>
      <w:tr>
        <w:trPr>
          <w:trHeight w:val="210"/>
        </w:trPr>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At-the-market offering</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March 19, 2019, the Company entered into the Sales Agreement with Cowen with respect to an at-the-market offering program under which the Company may offer and sell, from time to time at its sole discretion, shares of its common stock, having an aggregate offering price of up to $50.0 million through Cowen as its sales agent.</w:t>
      </w:r>
    </w:p>
    <w:p>
      <w:pPr>
        <w:spacing w:after="0" w:line="16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June 5, 2019, the Company issued approximately 2.2 million shares of common stock at an average stock price of $22.73 per share pursuant to the terms of the Sales Agreement. The at-the-market offering resulted in gross proceeds</w:t>
      </w:r>
    </w:p>
    <w:p>
      <w:pPr>
        <w:ind w:right="140"/>
        <w:spacing w:after="0" w:line="261" w:lineRule="auto"/>
        <w:rPr>
          <w:sz w:val="20"/>
          <w:szCs w:val="20"/>
          <w:color w:val="auto"/>
        </w:rPr>
      </w:pPr>
      <w:r>
        <w:rPr>
          <w:rFonts w:ascii="Arial" w:cs="Arial" w:eastAsia="Arial" w:hAnsi="Arial"/>
          <w:sz w:val="18"/>
          <w:szCs w:val="18"/>
          <w:color w:val="auto"/>
        </w:rPr>
        <w:t>of $49.7 million. The Company incurred $1.7 million in issuance costs associated with the at-the-market offering, resulting in net proceeds to the Company of $48.0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Underwritten public offering</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8, 2019, the Company entered into an underwriting agreement with J.P. Morgan Securities LLC and SVB Leerink LLC, as representatives of the several underwriters, relating to an underwritten underwritten public offering of approximately 2.7 million shares of the Company’s common stock, par value $0.001 per share. The underwritten</w:t>
      </w:r>
    </w:p>
    <w:p>
      <w:pPr>
        <w:ind w:right="160"/>
        <w:spacing w:after="0" w:line="261" w:lineRule="auto"/>
        <w:rPr>
          <w:sz w:val="20"/>
          <w:szCs w:val="20"/>
          <w:color w:val="auto"/>
        </w:rPr>
      </w:pPr>
      <w:r>
        <w:rPr>
          <w:rFonts w:ascii="Arial" w:cs="Arial" w:eastAsia="Arial" w:hAnsi="Arial"/>
          <w:sz w:val="18"/>
          <w:szCs w:val="18"/>
          <w:color w:val="auto"/>
        </w:rPr>
        <w:t>public offering resulted in gross proceeds of $69.0 million. The Company incurred $4.5 million in issuance costs associated with the underwritten public offering, resulting in net proceeds to the Company of $64.5 million.</w:t>
      </w:r>
    </w:p>
    <w:p>
      <w:pPr>
        <w:sectPr>
          <w:pgSz w:w="11900" w:h="16838" w:orient="portrait"/>
          <w:cols w:equalWidth="0" w:num="1">
            <w:col w:w="9060"/>
          </w:cols>
          <w:pgMar w:left="1420" w:top="125" w:right="1419"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60"/>
          </w:cols>
          <w:pgMar w:left="1420" w:top="125" w:right="1419" w:bottom="0" w:gutter="0" w:footer="0" w:header="0"/>
          <w:type w:val="continuous"/>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to accumulated other comprehensive loss during the nine months ended September 30, 2019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r>
      <w:tr>
        <w:trPr>
          <w:trHeight w:val="216"/>
        </w:trPr>
        <w:tc>
          <w:tcPr>
            <w:tcW w:w="60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9"/>
              </w:rPr>
              <w:t>Cumulative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Other</w:t>
            </w:r>
          </w:p>
        </w:tc>
      </w:tr>
      <w:tr>
        <w:trPr>
          <w:trHeight w:val="216"/>
        </w:trPr>
        <w:tc>
          <w:tcPr>
            <w:tcW w:w="60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8"/>
              </w:rPr>
              <w:t>Translation</w:t>
            </w:r>
          </w:p>
        </w:tc>
        <w:tc>
          <w:tcPr>
            <w:tcW w:w="8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r>
      <w:tr>
        <w:trPr>
          <w:trHeight w:val="230"/>
        </w:trPr>
        <w:tc>
          <w:tcPr>
            <w:tcW w:w="60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Adjustment</w:t>
            </w: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Loss</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period accumulated other comprehensive loss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r>
      <w:tr>
        <w:trPr>
          <w:trHeight w:val="217"/>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2019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6"/>
          <w:szCs w:val="16"/>
          <w:color w:val="auto"/>
        </w:rPr>
        <w:t>bioMérieux is a customer and also a holder of the Company’s common stock. bioMérieux formerly also had a designee on the Company’s Board of Directors. On September 6, 2018, bioMérieux notified the Company that it was terminating the Amended JDLA. The termination of the agreement resulted in the immediate recognition of the remaining deferred revenue. The Company recognized revenue from bioMérieux related to the Amended JDLA of less than</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$0.1 million, $1.6 million, less than $0.1 million and $2.1 million in the three months ended September 30, 2019 and 2018 and the nine months ended September 30, 2019 and 2018, respectively.</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entered into the License Agreement for certain intellectual property with Tufts. Tufts is a related party to the Company due to Tufts’ equity ownership in the Company and because a member of the Company’s Board of Directors was affiliated with Tufts. During the three months ended September 30, 2019 and 2018 and the nine months ended September 30, 2019 and 2018, the Company recorded royalty expense of $0.3 million, $0.2 million, $0.7 million and $0.5 million, respectively, in cost of product revenue on the consolidated statements of operations.</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were $0.3 million and $0.4 million for the three and nine months ended September 30, 2019, respectively, and less than $0.1 million for each of the three and nine months ended September 30,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had no significant subsequent events for the period September 30, 2019 through the filing date of this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2018,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2018 or other filings that we make with the SEC.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we are also developing our Simoa bead-based technology to detect nucleic acids in biological samples.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Czech Republic, China, India, Israel, Japan, Mexico, South Korea, Lebanon, Singapore, and Taiwan.</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7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ahead of our original fourth quarter expectation.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6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January 30, 2018, we acquired Aushon Biosystems, Inc.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August 1, 2019, we completed our acquisition of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ectPr>
          <w:pgSz w:w="11900" w:h="16838" w:orient="portrait"/>
          <w:cols w:equalWidth="0" w:num="1">
            <w:col w:w="9060"/>
          </w:cols>
          <w:pgMar w:left="1420" w:top="125" w:right="1419" w:bottom="123"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60"/>
          </w:cols>
          <w:pgMar w:left="1420" w:top="125" w:right="1419" w:bottom="123"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we had cash and cash equivalents of $113.3 million. Since inception, we have incurred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losses. Our net loss was $31.5 million, $27.0 million, and $23.2 million for the years ended December 31, 2018, 2017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respectively, and $29.8 million and $22.2 million for the nine months ended September 30,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respectively. As of September 30, 2019, we had an accumulated deficit of $205.3 million and stockholders' equity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$136.2 million. We expect to continue to incur significant expenses and operating losses at least through the next 24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will increase substantially as we:</w:t>
      </w:r>
    </w:p>
    <w:p>
      <w:pPr>
        <w:spacing w:after="0" w:line="89" w:lineRule="exact"/>
        <w:rPr>
          <w:sz w:val="20"/>
          <w:szCs w:val="20"/>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00" w:right="40" w:hanging="649"/>
        <w:spacing w:after="0" w:line="28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2" w:lineRule="exact"/>
        <w:rPr>
          <w:rFonts w:ascii="Arial" w:cs="Arial" w:eastAsia="Arial" w:hAnsi="Arial"/>
          <w:sz w:val="16"/>
          <w:szCs w:val="16"/>
          <w:color w:val="auto"/>
        </w:rPr>
      </w:pPr>
    </w:p>
    <w:p>
      <w:pPr>
        <w:jc w:val="both"/>
        <w:ind w:left="1300" w:right="380" w:hanging="649"/>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premarket approval, or PMA, or 510(k) clearance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2019 and September 30, 2018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8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September 30,</w:t>
            </w: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$ 4,775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14,944</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r>
              <w:rPr>
                <w:rFonts w:ascii="Arial" w:cs="Arial" w:eastAsia="Arial" w:hAnsi="Arial"/>
                <w:sz w:val="18"/>
                <w:szCs w:val="18"/>
                <w:color w:val="auto"/>
                <w:w w:val="93"/>
              </w:rPr>
              <w:t xml:space="preserve"> %</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r>
              <w:rPr>
                <w:rFonts w:ascii="Arial" w:cs="Arial" w:eastAsia="Arial" w:hAnsi="Arial"/>
                <w:sz w:val="18"/>
                <w:szCs w:val="18"/>
                <w:color w:val="auto"/>
                <w:w w:val="93"/>
              </w:rPr>
              <w:t xml:space="preserve"> %</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Operating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13,352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115.6 %</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125.</w:t>
            </w:r>
            <w:r>
              <w:rPr>
                <w:rFonts w:ascii="Arial" w:cs="Arial" w:eastAsia="Arial" w:hAnsi="Arial"/>
                <w:sz w:val="18"/>
                <w:szCs w:val="18"/>
                <w:u w:val="single" w:color="auto"/>
                <w:color w:val="auto"/>
                <w:w w:val="88"/>
              </w:rPr>
              <w:t>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(10,243)</w:t>
            </w:r>
          </w:p>
        </w:tc>
        <w:tc>
          <w:tcPr>
            <w:tcW w:w="14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(7,662)</w:t>
            </w:r>
          </w:p>
        </w:tc>
        <w:tc>
          <w:tcPr>
            <w:tcW w:w="14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w w:val="98"/>
              </w:rPr>
              <w:t>(72.3)%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(72.3)%</w:t>
            </w:r>
          </w:p>
        </w:tc>
        <w:tc>
          <w:tcPr>
            <w:tcW w:w="1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0"/>
              </w:rPr>
              <w:t>(100.0)%</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(66.0)%</w:t>
            </w:r>
          </w:p>
        </w:tc>
        <w:tc>
          <w:tcPr>
            <w:tcW w:w="14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8"/>
              </w:rPr>
              <w:t>(72.3)%</w:t>
            </w:r>
          </w:p>
        </w:tc>
        <w:tc>
          <w:tcPr>
            <w:tcW w:w="140" w:type="dxa"/>
            <w:vAlign w:val="bottom"/>
            <w:vMerge w:val="continue"/>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(2,213)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Total revenue increased by $4.4 million, or 41.1%, to $14.9 million for the three months ended September 30, 2019 as compared to $10.6 million for the three months ended September 30, 2018. Product revenue consisted primarily of sales of instruments totaling $4.1 million and sales of consumables and other products of $6.6 million for the three months ended September 30, 2019. Product revenue consisted of sales of instruments totaling $2.3 million and sales of consumables and other products totaling $3.7 million for the three months ended September 30, 2018. The increase in product revenue of $4.8 million was primarily due to increased instruments sales and increased consumables sales in the three months ended September 30, 2019. The installed base of instruments increased from September 30, 2018 to September 30, 2019, and as these additional instruments were used by customers, the consumable sales increased. The increase in service and other revenue of $1.2 million was due to increased services performed in our Accelerator Laboratory. We had no collaboration and license revenue in the three months ended September 30, 2019 as compared to the $1.6 million of revenue related to the collaboration arrangement with bioMérieux in the three months ended September 30, 2018. We adopted ASC 606 as of January 1, 2019, which did not have a material impact on revenue during the third quarter of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Cost of product revenue increased by $2.2 million, or 68.2%, to $5.5 million for the three months ended September 30, 2019 as compared to $3.3 million for the three months ended September 30, 2018. The increase was primarily due to an increase in sales of consumables and instruments, along with costs incurred from the amortization of</w:t>
      </w:r>
    </w:p>
    <w:p>
      <w:pPr>
        <w:sectPr>
          <w:pgSz w:w="11900" w:h="16838" w:orient="portrait"/>
          <w:cols w:equalWidth="0" w:num="1">
            <w:col w:w="9060"/>
          </w:cols>
          <w:pgMar w:left="1420" w:top="125" w:right="1419" w:bottom="325"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325" w:gutter="0" w:footer="0" w:header="0"/>
          <w:type w:val="continuous"/>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Uman acquisition-related inventory valuation adjustment and acquired intangibles. Cost of service revenue increased to $2.4 million for the three months ended September 30, 2019 from $1.7 million for the three months ended September 30, 2018. The increase was primarily due to higher utilization of the Accelerator Laboratory, plus increased personnel costs from the build out of our field service organization. Overall cost of goods sold as a percentage of revenue increased to 52.9% of total revenue for the three months ended September 30, 2019 as compared to 47.2% for the three months ended September 30, 2018, primarily as a result of the impact of the collaboration arrangement with bioMérieux during the three months ended September 30, 2018 and the impact of the Uman acquisition-related charges during the three months ended September 30,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Research and development expense decreased by $0.5 million, or (11.0)%, to $3.9 million for the three months ended September 30, 2019 as compared to $4.4 million for the three months ended September 30, 2018. The decrease was primarily due to the completion of development of the HD-X in the early part of the third quarter of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Selling, general and administrative expense increased by $4.5 million, or 50.9%, to $13.4 million for the three months ended September 30, 2019 as compared to $8.8 million for the three months ended September 30, 2018. The increase was primarily due to headcount additions in various departments as we build out our organization to support future growth, the lease for the new headquarters, and stock compensation expense. In addition, we incurred approximately $1.0 million in costs associated with the acquisition of Uman during the three months ended September 30,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Interest income and other expense, net increased by $0.2 million for the three months ended September 30, 2019 as compared to same period in 2018, primarily due to the interest income earned on cash equivalents, which increased due to the at-the-market and underwritten public offerings completed during 2019.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2019 and September 30, 2018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 of</w:t>
            </w:r>
          </w:p>
        </w:tc>
        <w:tc>
          <w:tcPr>
            <w:tcW w:w="72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revenue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$13,152</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8,699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40,816</w:t>
            </w: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26,755</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8,995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5,222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revenue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Costs of Goods sold and services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20,847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14,016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6,831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28.9 %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38,293</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23,117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15,176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50,085</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122.7</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34,876</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130.4</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(30,116)</w:t>
            </w: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(22,137)</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Income tax benefit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(7,636)</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Total revenue increased by $14.1 million, or 52.6%, to $40.8 million for the nine months ended September 30, 2019 as compared to $26.8 million for the nine months ended September 30, 2018. Product revenue consisted primarily of sales of instruments totaling $10.3 million and sales of consumables and other products of $18.8 million for the nine months ended September 30, 2019. Product revenue consisted of sales of instruments totaling $6.0 million and sales of consumables and other products totaling $9.9 million for the nine months ended September 30, 2018. The increase in product revenue of $13.2 million was primarily due to the sale of more instruments and increased sales of consumables in the nine months ended September 30, 2019. The installed base of instruments increased from September 30, 2018 to September 30, 2019, and as these additional instruments were used by customers, the consumable sales increased. The increase in service and other revenue of $3.1 million was due to increased services performed in our Accelerator Laboratory. We had no collaboration and license revenue in the nine months ended September 30, 2019 as compared to the $2.1 million of revenue related to the collaboration arrangement with bioMérieux in the nine months ended September 30, 2018. We adopted ASC 606 as of January 1, 2019, which did not have a material impact on revenue in the nine months ended September 30, 2019.</w:t>
      </w:r>
    </w:p>
    <w:p>
      <w:pPr>
        <w:sectPr>
          <w:pgSz w:w="11900" w:h="16838" w:orient="portrait"/>
          <w:cols w:equalWidth="0" w:num="1">
            <w:col w:w="9140"/>
          </w:cols>
          <w:pgMar w:left="1420" w:top="125" w:right="1339" w:bottom="1" w:gutter="0" w:footer="0" w:header="0"/>
        </w:sectPr>
      </w:pP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140"/>
          </w:cols>
          <w:pgMar w:left="1420" w:top="125" w:right="1339" w:bottom="1" w:gutter="0" w:footer="0" w:header="0"/>
          <w:type w:val="continuous"/>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Cost of product revenue increased by $5.2 million, or 58.1%, to $14.2 million for the nine months ended September 30, 2019 as compared to $9.0 million for the nine months ended September 30, 2018. The increase was primarily due to increased sales of consumables and instruments, along with costs incurred from the amortization of the Uman acquisition-related inventory valuation adjustment and acquired intangibles. Cost of service revenue increased to $6.6 million for the nine months ended September 30, 2019 from $5.0 million for the nine months ended September 30, 2018. The increase was primarily due to higher utilization of the Accelerator Laboratory, plus increased personnel costs from the build out of our field service organization. Overall cost of goods sold as a percentage of revenue decreased to 51.1% of total revenue for the nine months ended September 30, 2019 as compared to 52.4% for the nine months ended September 30, 2018, primarily as a result of decreased costs to produce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Research and development expense increased slightly by less than $0.1 million, or 0.3%, for the nine months ended September 30, 2019 as compared to the nine months ended September 30, 2018. The increase was primarily due to the development of the SP-X and HD-X and the increased headcount in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Selling, general and administrative expense increased by $15.2 million, or 65.6%, to $38.3 million for the nine months ended September 30, 2019 as compared to $23.1 million for the nine months ended September 30, 2018. The increase was primarily due to headcount additions in various departments as we build out our organization to support future growth, the lease for the new headquarters, and stock compensation expense. In addition, we incurred approximately $1.9 million in costs associated with the acquisition of Uman during the nine months ended September 30,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Interest income and other expense, net increased by $0.3 million for the nine months ended September 30, 2019 as compared to the same period in 2018, primarily due to the interest income earned on cash equivalents, which increased due to the at-the-market and underwritten public offerings completed during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Equity Offerings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19, 2019, we entered into a Sales Agreement for an “at the market offering” arrangement with Cowen, which allows us to issue and sell shares of common stock pursuant to a shelf registration statement for total gross sales proceeds of up to $50.0 million from time to time through Cowen, acting as our agent. During the nine months ended September 30, 2019, we sold an aggregate of 2,186,163 shares of common stock pursuant to this agreement resulting in $49.7 million in gross proceeds and $48.0 million in net proceeds.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August 8, 2019, we entered into an underwriting agreement with J.P. Morgan Securities LLC and SVB Leerink LLC, as representatives of the several underwriters, relating to an underwritten public offering of 2,732,673 shares of common stock at a public offering price of $25.25 per share. We received $69.0 million in gross proceeds and $64.5 million in net proceeds.</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Loan Facility with Hercules</w:t>
      </w:r>
    </w:p>
    <w:p>
      <w:pPr>
        <w:spacing w:after="0" w:line="10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ectPr>
          <w:pgSz w:w="11900" w:h="16838" w:orient="portrait"/>
          <w:cols w:equalWidth="0" w:num="1">
            <w:col w:w="9060"/>
          </w:cols>
          <w:pgMar w:left="1420" w:top="125" w:right="1419" w:bottom="798"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798" w:gutter="0" w:footer="0" w:header="0"/>
          <w:type w:val="continuous"/>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2016, we executed Amendment 2 to the Loan Agreement, which increased the total facility available by $5.0 million to a total of $15.0 million and further delayed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 March 2017, we signed Amendment 3 to the Loan Agreement increasing the total facility available by</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6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6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are due March 2020.</w:t>
      </w:r>
    </w:p>
    <w:p>
      <w:pPr>
        <w:spacing w:after="0" w:line="5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5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April 15, 2019, we entered into Amendment No. 7 to the Loan Agreement, which extends the interest only payment period through July 1, 2021 and also extends the loan maturity date to October 1, 2021. We are required to pay the loan principal in five equal installments starting July 1, 2021 with the final principal payment to be made on October 1, 2021.</w:t>
      </w:r>
    </w:p>
    <w:p>
      <w:pPr>
        <w:spacing w:after="0" w:line="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 2019, 66,041 warrants were exercised by Hercules on a net, non-cash, basis. Per the terms of the warrant agreement, we issued 45,690 shares of common stock with a value equal to Hercules’ gain.</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principal repayments, including the end of term fees, due as of September 30, 2019 are (in thousands):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2019</w:t>
            </w:r>
          </w:p>
        </w:tc>
        <w:tc>
          <w:tcPr>
            <w:tcW w:w="28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0"/>
        </w:trPr>
        <w:tc>
          <w:tcPr>
            <w:tcW w:w="40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Uman Acquisition</w:t>
            </w:r>
          </w:p>
        </w:tc>
        <w:tc>
          <w:tcPr>
            <w:tcW w:w="25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Nine Months Ended</w:t>
      </w:r>
    </w:p>
    <w:p>
      <w:pPr>
        <w:ind w:left="6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(21,652)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(20,613)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(24,832)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(5,347)</w:t>
            </w: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115,473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(27,259)</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used in operating activities was $21.7 million during the nine months ended September 30, 2019. The net cash used in operating activities primarily consisted of the net loss of $29.8 million offset by non-cash charges of $4.7 million of stock-based compensation expense and $2.2 million of depreciation and amortization expense. Cash used as a result of changes in operating assets and liabilities of $1.2 million was primarily due to a $10.1 million increase in other non-current liabilities related to our new lease, offset by an increase in accounts receivable of $4.5 million, and an increase in inventory of $3.9 million.</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Net cash used in operating activities was $20.6 million during the nine months ended September 30, 2018. Net cash used in operating activities primarily consisted of the net loss of $22.2 million, and an increase in accounts payable and accrued expenses of $0.1 million. Other cash outflows including a decrease in inventory of $1.0 million, an increase of prepaid and other expenses of $1.0 million and a decrease in deferred revenue of $2.5 million are primarily offset by a decrease in accounts receivable of $1.2 million, an increase in non-cash stock compensation expense of $3.4 million, and an increase in other non-cash adjustments of $1.2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used $24.8 million of cash in investing activities during the nine months ended September 30, 2019. The significant increase was related to the cash portion of the Uman acquisition, as well as the leasehold improvements for new headquarters, which is a component of our lease agreement.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used $5.3 million of cash in investing activities during the nine months ended September 30, 2018 consisting of cash paid in the acquisition of Aushon, net of cash acquired, and for purchases of capital equipment to support our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Financing activities provided $115.5 million of cash during the nine months ended September 30, 2019, primarily from proceeds of our “at-the-market” offering during the second quarter of 2019 and our underwritten public offering during the third quarter of 2019.</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used $1.3 million of cash in financing activities during the nine months ended September 30, 2018, which was primarily used in payments of outstanding debt of $1.9 million, partially offset by proceeds of common stock option exercises of $0.7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5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w:t>
      </w:r>
    </w:p>
    <w:p>
      <w:pPr>
        <w:sectPr>
          <w:pgSz w:w="11900" w:h="16838" w:orient="portrait"/>
          <w:cols w:equalWidth="0" w:num="1">
            <w:col w:w="9060"/>
          </w:cols>
          <w:pgMar w:left="1420" w:top="125" w:right="141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2018. We have based our estimates on assumptions that may prove to be wrong and we could utilize our available capital resources sooner than we currently expect. Our future funding requirements will depend on many factors, including:</w:t>
      </w:r>
    </w:p>
    <w:p>
      <w:pPr>
        <w:spacing w:after="0" w:line="56" w:lineRule="exact"/>
        <w:rPr>
          <w:sz w:val="20"/>
          <w:szCs w:val="20"/>
          <w:color w:val="auto"/>
        </w:rPr>
      </w:pPr>
    </w:p>
    <w:p>
      <w:pPr>
        <w:ind w:left="660" w:hanging="65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660" w:hanging="65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660" w:hanging="65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660" w:hanging="65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660" w:right="640" w:hanging="657"/>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ind w:left="660" w:hanging="65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March 19, 2019, we filed a universal shelf registration statement on Form S-3, which was declared effective by the SEC on May 10, 2019, and pursuant to which we registered for sale up to</w:t>
      </w:r>
    </w:p>
    <w:p>
      <w:pPr>
        <w:ind w:right="20"/>
        <w:spacing w:after="0" w:line="267" w:lineRule="auto"/>
        <w:rPr>
          <w:sz w:val="20"/>
          <w:szCs w:val="20"/>
          <w:color w:val="auto"/>
        </w:rPr>
      </w:pPr>
      <w:r>
        <w:rPr>
          <w:rFonts w:ascii="Arial" w:cs="Arial" w:eastAsia="Arial" w:hAnsi="Arial"/>
          <w:sz w:val="17"/>
          <w:szCs w:val="17"/>
          <w:color w:val="auto"/>
        </w:rPr>
        <w:t>$200 million of any combination of our common stock, preferred stock, debt securities, warrants, rights, and/or units from time to time and at prices and on terms that we may determine. After the sales of shares of common stock in our “at-the-market” offering during June 2019, and the sale of 2,732,673 shares of common stock in our underwritten public offering in August 2019, approximately $81.3 million of securities remained available for issuance under this shelf registration statement. This registration statement will remain in effect up to May 10, 2022.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September 30, 2019, there have been no material changes to our contractual obligations and commitments from those described under “Management’s Discussion and Analysis of Financial Condition and Results of Operations” included in the Annual Report on Form 10-K for the year ended December 31, 2018, except that, on April 15, 2019, we signed Amendment 7 to the Loan Agreement, which extends the interest only payment period through July 1, 2021 and also extends the loan the maturity date until October 1, 2021. We are required to pay the loan principal in five equal installments starting July 1, 2021 with the final principal payment to be made on October 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Significant Judgements and Estimates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Judgements and Estimates” included in our Annual Report on Form 10-K for the year ended December 31, 2018. There have been no material changes to our critical accounting policies and estimates as disclosed therein, with the exception of our adoption of recent accounting pronouncements,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60" w:firstLine="875"/>
        <w:spacing w:after="0" w:line="264" w:lineRule="auto"/>
        <w:rPr>
          <w:sz w:val="20"/>
          <w:szCs w:val="20"/>
          <w:color w:val="auto"/>
        </w:rPr>
      </w:pPr>
      <w:r>
        <w:rPr>
          <w:rFonts w:ascii="Arial" w:cs="Arial" w:eastAsia="Arial" w:hAnsi="Arial"/>
          <w:sz w:val="18"/>
          <w:szCs w:val="18"/>
          <w:color w:val="auto"/>
        </w:rPr>
        <w:t>We adopted ASC 606, “</w:t>
      </w: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 and its related amendment. See Notes 2 and 3 to our unaudited financial statements included elsewhere in this Quarterly Report on Form 10-Q for more information.</w:t>
      </w:r>
    </w:p>
    <w:p>
      <w:pPr>
        <w:sectPr>
          <w:pgSz w:w="11900" w:h="16838" w:orient="portrait"/>
          <w:cols w:equalWidth="0" w:num="1">
            <w:col w:w="9040"/>
          </w:cols>
          <w:pgMar w:left="1420" w:top="125"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40"/>
          </w:cols>
          <w:pgMar w:left="1420" w:top="125" w:right="1439" w:bottom="0" w:gutter="0" w:footer="0" w:header="0"/>
          <w:type w:val="continuous"/>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At September 30, 2019, there have been no material changes to the market risk information described under “Quantitative and Qualitative Disclosures About Market Risk” included in the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420" w:firstLine="651"/>
        <w:spacing w:after="0" w:line="224" w:lineRule="exact"/>
        <w:tabs>
          <w:tab w:leader="none" w:pos="93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w:t>
      </w:r>
    </w:p>
    <w:p>
      <w:pPr>
        <w:ind w:right="160"/>
        <w:spacing w:after="0" w:line="216" w:lineRule="exact"/>
        <w:rPr>
          <w:rFonts w:ascii="Arial" w:cs="Arial" w:eastAsia="Arial" w:hAnsi="Arial"/>
          <w:sz w:val="16"/>
          <w:szCs w:val="16"/>
          <w:color w:val="auto"/>
        </w:rPr>
      </w:pPr>
      <w:r>
        <w:rPr>
          <w:rFonts w:ascii="Arial" w:cs="Arial" w:eastAsia="Arial" w:hAnsi="Arial"/>
          <w:sz w:val="16"/>
          <w:szCs w:val="16"/>
          <w:color w:val="auto"/>
        </w:rPr>
        <w:t>15d</w:t>
      </w:r>
      <w:r>
        <w:rPr>
          <w:rFonts w:ascii="MS PGothic" w:cs="MS PGothic" w:eastAsia="MS PGothic" w:hAnsi="MS PGothic"/>
          <w:sz w:val="16"/>
          <w:szCs w:val="16"/>
          <w:color w:val="auto"/>
        </w:rPr>
        <w:t>‑</w:t>
      </w:r>
      <w:r>
        <w:rPr>
          <w:rFonts w:ascii="Arial" w:cs="Arial" w:eastAsia="Arial" w:hAnsi="Arial"/>
          <w:sz w:val="16"/>
          <w:szCs w:val="16"/>
          <w:color w:val="auto"/>
        </w:rPr>
        <w:t>15(e) of the Securities Exchange Act of 1934, as amended, or the Exchange Act) as of the end of the period covered by this Form 10</w:t>
      </w:r>
      <w:r>
        <w:rPr>
          <w:rFonts w:ascii="MS PGothic" w:cs="MS PGothic" w:eastAsia="MS PGothic" w:hAnsi="MS PGothic"/>
          <w:sz w:val="16"/>
          <w:szCs w:val="16"/>
          <w:color w:val="auto"/>
        </w:rPr>
        <w:t>‑</w:t>
      </w:r>
      <w:r>
        <w:rPr>
          <w:rFonts w:ascii="Arial" w:cs="Arial" w:eastAsia="Arial" w:hAnsi="Arial"/>
          <w:sz w:val="16"/>
          <w:szCs w:val="16"/>
          <w:color w:val="auto"/>
        </w:rPr>
        <w:t>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05" w:lineRule="exact"/>
        <w:rPr>
          <w:rFonts w:ascii="Arial" w:cs="Arial" w:eastAsia="Arial" w:hAnsi="Arial"/>
          <w:sz w:val="16"/>
          <w:szCs w:val="16"/>
          <w:color w:val="auto"/>
        </w:rPr>
      </w:pPr>
    </w:p>
    <w:p>
      <w:pPr>
        <w:ind w:firstLine="651"/>
        <w:spacing w:after="0" w:line="259" w:lineRule="auto"/>
        <w:tabs>
          <w:tab w:leader="none" w:pos="94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2018, filed with the SEC on March 18, 2019, except as set forth in our Quarterly Report on Form 10-Q for the quarter ended June 30, 2019, as filed with the SEC on August 6,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July 2, 2019, 66,041 warrants were exercised by Hercules on a net, non-cash, basis. Per the terms of the warrant agreement, we issued 45,690 shares of common stock. The shares were issued in a private placement exempt from registration under Section 4(a)(2) of the Securities Act of 1933, as amended, or the Securities Act, and Rule 506(b) of Regulation D promulgated thereunder, because the offer and sale of the shares did not involve a “public offering” as defined in Section 4(a)(2) of the Securities Act, and other applicable requirements were met.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Current Reports on Form 8-K filed with the SEC on July 2, 2019 and August 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December 11, 2017, we completed the initial public offering of our common stock, which resulted in the sale of 4,916,480 shares, including 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co-managers.</w:t>
      </w:r>
    </w:p>
    <w:p>
      <w:pPr>
        <w:spacing w:after="0" w:line="167"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received approximately $65.6 million in net proceeds after deducting underwriting discounts and commissions and offering costs payable by us. As of September 30, 2019, we had used all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6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22"/>
          </w:tcPr>
          <w:p>
            <w:pPr>
              <w:ind w:left="80"/>
              <w:spacing w:after="0"/>
              <w:rPr>
                <w:sz w:val="20"/>
                <w:szCs w:val="20"/>
                <w:color w:val="auto"/>
              </w:rPr>
            </w:pPr>
            <w:r>
              <w:rPr>
                <w:rFonts w:ascii="Arial" w:cs="Arial" w:eastAsia="Arial" w:hAnsi="Arial"/>
                <w:sz w:val="18"/>
                <w:szCs w:val="18"/>
                <w:color w:val="auto"/>
                <w:w w:val="99"/>
              </w:rPr>
              <w:t>The following is a list of exhibits filed as part of this Quarterly Report on Form 10-Q.</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r>
      <w:tr>
        <w:trPr>
          <w:trHeight w:val="162"/>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Filed</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Reg.</w:t>
            </w:r>
          </w:p>
        </w:tc>
      </w:tr>
      <w:tr>
        <w:trPr>
          <w:trHeight w:val="185"/>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gridSpan w:val="14"/>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Herewith</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 or Schedule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80" w:type="dxa"/>
            <w:vAlign w:val="bottom"/>
            <w:tcBorders>
              <w:top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auto"/>
            </w:tcBorders>
            <w:gridSpan w:val="14"/>
          </w:tcPr>
          <w:p>
            <w:pPr>
              <w:spacing w:after="0" w:line="170"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Letter Agreement, dated July 22, 2019,</w:t>
              </w:r>
            </w:hyperlink>
          </w:p>
        </w:tc>
        <w:tc>
          <w:tcPr>
            <w:tcW w:w="20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between the Registrant and Amee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Desjourdy.</w:t>
              </w:r>
            </w:hyperlink>
          </w:p>
        </w:tc>
        <w:tc>
          <w:tcPr>
            <w:tcW w:w="1640" w:type="dxa"/>
            <w:vAlign w:val="bottom"/>
            <w:tcBorders>
              <w:top w:val="single" w:sz="8" w:color="0000EE"/>
            </w:tcBorders>
            <w:gridSpan w:val="5"/>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16"/>
          </w:tcPr>
          <w:p>
            <w:pPr>
              <w:spacing w:after="0"/>
              <w:rPr>
                <w:rFonts w:ascii="Arial" w:cs="Arial" w:eastAsia="Arial" w:hAnsi="Arial"/>
                <w:sz w:val="18"/>
                <w:szCs w:val="18"/>
                <w:color w:val="0000EE"/>
              </w:rPr>
            </w:pPr>
            <w:hyperlink r:id="rId57">
              <w:r>
                <w:rPr>
                  <w:rFonts w:ascii="Arial" w:cs="Arial" w:eastAsia="Arial" w:hAnsi="Arial"/>
                  <w:sz w:val="18"/>
                  <w:szCs w:val="18"/>
                  <w:color w:val="0000EE"/>
                </w:rPr>
                <w:t>Consulting Agreement, dated July 31,</w:t>
              </w:r>
            </w:hyperlink>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60" w:type="dxa"/>
            <w:vAlign w:val="bottom"/>
          </w:tcPr>
          <w:p>
            <w:pPr>
              <w:ind w:left="100"/>
              <w:spacing w:after="0"/>
              <w:rPr>
                <w:sz w:val="20"/>
                <w:szCs w:val="20"/>
                <w:color w:val="auto"/>
              </w:rPr>
            </w:pPr>
            <w:r>
              <w:rPr>
                <w:rFonts w:ascii="Arial" w:cs="Arial" w:eastAsia="Arial" w:hAnsi="Arial"/>
                <w:sz w:val="18"/>
                <w:szCs w:val="18"/>
                <w:color w:val="auto"/>
              </w:rPr>
              <w:t>8/1/2019</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001-</w:t>
            </w: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7">
              <w:r>
                <w:rPr>
                  <w:rFonts w:ascii="Arial" w:cs="Arial" w:eastAsia="Arial" w:hAnsi="Arial"/>
                  <w:sz w:val="18"/>
                  <w:szCs w:val="18"/>
                  <w:color w:val="0000EE"/>
                </w:rPr>
                <w:t>2019, between the Registrant and</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38319</w:t>
            </w: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Jackson Streeter, M.D.</w:t>
              </w:r>
            </w:hyperlink>
          </w:p>
        </w:tc>
        <w:tc>
          <w:tcPr>
            <w:tcW w:w="760" w:type="dxa"/>
            <w:vAlign w:val="bottom"/>
            <w:tcBorders>
              <w:top w:val="single" w:sz="8" w:color="0000EE"/>
            </w:tcBorders>
            <w:gridSpan w:val="3"/>
          </w:tcPr>
          <w:p>
            <w:pPr>
              <w:spacing w:after="0"/>
              <w:rPr>
                <w:sz w:val="15"/>
                <w:szCs w:val="15"/>
                <w:color w:val="auto"/>
              </w:rPr>
            </w:pPr>
          </w:p>
        </w:tc>
        <w:tc>
          <w:tcPr>
            <w:tcW w:w="32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of the Principal Executive</w:t>
              </w:r>
            </w:hyperlink>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Borders>
              <w:top w:val="single" w:sz="8" w:color="0000EE"/>
            </w:tcBorders>
            <w:gridSpan w:val="13"/>
          </w:tcPr>
          <w:p>
            <w:pPr>
              <w:spacing w:after="0" w:line="182"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Officer pursuant to Section 302 of the</w:t>
              </w:r>
            </w:hyperlink>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Sarbanes-Oxley Act of 2002.</w:t>
              </w:r>
            </w:hyperlink>
          </w:p>
        </w:tc>
        <w:tc>
          <w:tcPr>
            <w:tcW w:w="620" w:type="dxa"/>
            <w:vAlign w:val="bottom"/>
            <w:tcBorders>
              <w:top w:val="single" w:sz="8" w:color="0000EE"/>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Certification of the Principal Financial</w:t>
              </w:r>
            </w:hyperlink>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80" w:type="dxa"/>
            <w:vAlign w:val="bottom"/>
            <w:tcBorders>
              <w:top w:val="single" w:sz="8" w:color="0000EE"/>
            </w:tcBorders>
            <w:gridSpan w:val="10"/>
          </w:tcPr>
          <w:p>
            <w:pPr>
              <w:spacing w:after="0" w:line="182"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Officer pursuant to Section 302 of the</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Sarbanes-Oxley Act of 2002.</w:t>
              </w:r>
            </w:hyperlink>
          </w:p>
        </w:tc>
        <w:tc>
          <w:tcPr>
            <w:tcW w:w="620" w:type="dxa"/>
            <w:vAlign w:val="bottom"/>
            <w:tcBorders>
              <w:top w:val="single" w:sz="8" w:color="0000EE"/>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16"/>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Certifications of the Principal Executive</w:t>
              </w:r>
            </w:hyperlink>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00" w:type="dxa"/>
            <w:vAlign w:val="bottom"/>
            <w:tcBorders>
              <w:top w:val="single" w:sz="8" w:color="0000EE"/>
            </w:tcBorders>
            <w:gridSpan w:val="14"/>
          </w:tcPr>
          <w:p>
            <w:pPr>
              <w:spacing w:after="0" w:line="182"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Officer and Principal Financial Officer</w:t>
              </w:r>
            </w:hyperlink>
          </w:p>
        </w:tc>
        <w:tc>
          <w:tcPr>
            <w:tcW w:w="2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pursuant to Section 906 of the</w:t>
              </w:r>
            </w:hyperlink>
          </w:p>
        </w:tc>
        <w:tc>
          <w:tcPr>
            <w:tcW w:w="32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Sarbanes-Oxley Act of 2002.</w:t>
              </w:r>
            </w:hyperlink>
          </w:p>
        </w:tc>
        <w:tc>
          <w:tcPr>
            <w:tcW w:w="60" w:type="dxa"/>
            <w:vAlign w:val="bottom"/>
            <w:tcBorders>
              <w:top w:val="single" w:sz="8" w:color="0000EE"/>
            </w:tcBorders>
          </w:tcPr>
          <w:p>
            <w:pPr>
              <w:spacing w:after="0"/>
              <w:rPr>
                <w:sz w:val="15"/>
                <w:szCs w:val="15"/>
                <w:color w:val="auto"/>
              </w:rPr>
            </w:pPr>
          </w:p>
        </w:tc>
        <w:tc>
          <w:tcPr>
            <w:tcW w:w="960" w:type="dxa"/>
            <w:vAlign w:val="bottom"/>
            <w:gridSpan w:val="11"/>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26"/>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.INS</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.SCH</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Taxonomy Extension Schema</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.CAL</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Taxonomy Extension</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gridSpan w:val="16"/>
          </w:tcPr>
          <w:p>
            <w:pPr>
              <w:spacing w:after="0"/>
              <w:rPr>
                <w:sz w:val="20"/>
                <w:szCs w:val="20"/>
                <w:color w:val="auto"/>
              </w:rPr>
            </w:pPr>
            <w:r>
              <w:rPr>
                <w:rFonts w:ascii="Arial" w:cs="Arial" w:eastAsia="Arial" w:hAnsi="Arial"/>
                <w:sz w:val="18"/>
                <w:szCs w:val="18"/>
                <w:color w:val="auto"/>
              </w:rPr>
              <w:t>Calculation 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.DEF</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Taxonomy Extension Definition.</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.LAB</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Taxonomy Extension Label</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.PRE</w:t>
            </w:r>
          </w:p>
        </w:tc>
        <w:tc>
          <w:tcPr>
            <w:tcW w:w="3120" w:type="dxa"/>
            <w:vAlign w:val="bottom"/>
            <w:gridSpan w:val="16"/>
          </w:tcPr>
          <w:p>
            <w:pPr>
              <w:spacing w:after="0"/>
              <w:rPr>
                <w:sz w:val="20"/>
                <w:szCs w:val="20"/>
                <w:color w:val="auto"/>
              </w:rPr>
            </w:pPr>
            <w:r>
              <w:rPr>
                <w:rFonts w:ascii="Arial" w:cs="Arial" w:eastAsia="Arial" w:hAnsi="Arial"/>
                <w:sz w:val="18"/>
                <w:szCs w:val="18"/>
                <w:color w:val="auto"/>
              </w:rPr>
              <w:t>XBRL Taxonomy Extension</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gridSpan w:val="16"/>
          </w:tcPr>
          <w:p>
            <w:pPr>
              <w:spacing w:after="0"/>
              <w:rPr>
                <w:sz w:val="20"/>
                <w:szCs w:val="20"/>
                <w:color w:val="auto"/>
              </w:rPr>
            </w:pPr>
            <w:r>
              <w:rPr>
                <w:rFonts w:ascii="Arial" w:cs="Arial" w:eastAsia="Arial" w:hAnsi="Arial"/>
                <w:sz w:val="18"/>
                <w:szCs w:val="18"/>
                <w:color w:val="auto"/>
              </w:rPr>
              <w:t>Presentation 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600" w:type="dxa"/>
            <w:vAlign w:val="bottom"/>
            <w:gridSpan w:val="2"/>
          </w:tcPr>
          <w:p>
            <w:pPr>
              <w:ind w:left="156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Dated: November 8, 2019</w:t>
            </w:r>
          </w:p>
        </w:tc>
        <w:tc>
          <w:tcPr>
            <w:tcW w:w="5600" w:type="dxa"/>
            <w:vAlign w:val="bottom"/>
            <w:gridSpan w:val="2"/>
          </w:tcPr>
          <w:p>
            <w:pPr>
              <w:ind w:left="1560"/>
              <w:spacing w:after="0"/>
              <w:rPr>
                <w:sz w:val="20"/>
                <w:szCs w:val="20"/>
                <w:color w:val="auto"/>
              </w:rPr>
            </w:pPr>
            <w:r>
              <w:rPr>
                <w:rFonts w:ascii="Arial" w:cs="Arial" w:eastAsia="Arial" w:hAnsi="Arial"/>
                <w:sz w:val="18"/>
                <w:szCs w:val="18"/>
                <w:color w:val="auto"/>
              </w:rPr>
              <w:t>By:  /s/ E. Kevin Hrusovsky</w:t>
            </w:r>
          </w:p>
        </w:tc>
      </w:tr>
      <w:tr>
        <w:trPr>
          <w:trHeight w:val="195"/>
        </w:trPr>
        <w:tc>
          <w:tcPr>
            <w:tcW w:w="3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November 8, 2019</w:t>
            </w:r>
          </w:p>
        </w:tc>
        <w:tc>
          <w:tcPr>
            <w:tcW w:w="5880" w:type="dxa"/>
            <w:vAlign w:val="bottom"/>
            <w:gridSpan w:val="2"/>
          </w:tcPr>
          <w:p>
            <w:pPr>
              <w:ind w:left="1840"/>
              <w:spacing w:after="0"/>
              <w:rPr>
                <w:sz w:val="20"/>
                <w:szCs w:val="20"/>
                <w:color w:val="auto"/>
              </w:rPr>
            </w:pPr>
            <w:r>
              <w:rPr>
                <w:rFonts w:ascii="Arial" w:cs="Arial" w:eastAsia="Arial" w:hAnsi="Arial"/>
                <w:sz w:val="18"/>
                <w:szCs w:val="18"/>
                <w:color w:val="auto"/>
              </w:rPr>
              <w:t>By:  /s/ Amol Chaubal</w:t>
            </w:r>
          </w:p>
        </w:tc>
      </w:tr>
      <w:tr>
        <w:trPr>
          <w:trHeight w:val="195"/>
        </w:trPr>
        <w:tc>
          <w:tcPr>
            <w:tcW w:w="3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Amol Chaubal</w:t>
            </w:r>
          </w:p>
        </w:tc>
      </w:tr>
      <w:tr>
        <w:trPr>
          <w:trHeight w:val="216"/>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64"/>
        </w:trPr>
        <w:tc>
          <w:tcPr>
            <w:tcW w:w="3180" w:type="dxa"/>
            <w:vAlign w:val="bottom"/>
          </w:tcPr>
          <w:p>
            <w:pPr>
              <w:spacing w:after="0"/>
              <w:rPr>
                <w:sz w:val="24"/>
                <w:szCs w:val="24"/>
                <w:color w:val="auto"/>
              </w:rPr>
            </w:pPr>
          </w:p>
        </w:tc>
        <w:tc>
          <w:tcPr>
            <w:tcW w:w="2300" w:type="dxa"/>
            <w:vAlign w:val="bottom"/>
          </w:tcPr>
          <w:p>
            <w:pPr>
              <w:jc w:val="right"/>
              <w:ind w:right="770"/>
              <w:spacing w:after="0"/>
              <w:rPr>
                <w:sz w:val="20"/>
                <w:szCs w:val="20"/>
                <w:color w:val="auto"/>
              </w:rPr>
            </w:pPr>
            <w:r>
              <w:rPr>
                <w:rFonts w:ascii="Arial" w:cs="Arial" w:eastAsia="Arial" w:hAnsi="Arial"/>
                <w:sz w:val="18"/>
                <w:szCs w:val="18"/>
                <w:color w:val="auto"/>
              </w:rPr>
              <w:t>35</w:t>
            </w:r>
          </w:p>
        </w:tc>
        <w:tc>
          <w:tcPr>
            <w:tcW w:w="3580" w:type="dxa"/>
            <w:vAlign w:val="bottom"/>
          </w:tcPr>
          <w:p>
            <w:pPr>
              <w:spacing w:after="0"/>
              <w:rPr>
                <w:sz w:val="24"/>
                <w:szCs w:val="24"/>
                <w:color w:val="auto"/>
              </w:rPr>
            </w:pPr>
          </w:p>
        </w:tc>
      </w:tr>
      <w:tr>
        <w:trPr>
          <w:trHeight w:val="561"/>
        </w:trPr>
        <w:tc>
          <w:tcPr>
            <w:tcW w:w="3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148590</wp:posOffset>
            </wp:positionV>
            <wp:extent cx="1406525" cy="2109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065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21, 2019</w:t>
      </w:r>
    </w:p>
    <w:p>
      <w:pPr>
        <w:spacing w:after="0" w:line="238" w:lineRule="auto"/>
        <w:rPr>
          <w:sz w:val="20"/>
          <w:szCs w:val="20"/>
          <w:color w:val="auto"/>
        </w:rPr>
      </w:pPr>
      <w:r>
        <w:rPr>
          <w:rFonts w:ascii="Arial" w:cs="Arial" w:eastAsia="Arial" w:hAnsi="Arial"/>
          <w:sz w:val="22"/>
          <w:szCs w:val="22"/>
          <w:color w:val="auto"/>
        </w:rPr>
        <w:t>Amee Desjourdy</w:t>
      </w:r>
    </w:p>
    <w:p>
      <w:pPr>
        <w:spacing w:after="0"/>
        <w:rPr>
          <w:sz w:val="20"/>
          <w:szCs w:val="20"/>
          <w:color w:val="auto"/>
        </w:rPr>
      </w:pPr>
      <w:r>
        <w:rPr>
          <w:rFonts w:ascii="Arial" w:cs="Arial" w:eastAsia="Arial" w:hAnsi="Arial"/>
          <w:sz w:val="22"/>
          <w:szCs w:val="22"/>
          <w:color w:val="auto"/>
        </w:rPr>
        <w:t>Boston, MA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Amee:</w:t>
      </w:r>
    </w:p>
    <w:p>
      <w:pPr>
        <w:spacing w:after="0" w:line="20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Quanterix Corporation (the "Company") is pleased to offer you, subject to Compensation Committee approval, the full-time position of Chief Human Resource Officer. This will be an executive officer level position, reporting to me. Your start date will be August 19, 2019. We are excited about the prospect of you joining our team.</w:t>
      </w:r>
    </w:p>
    <w:p>
      <w:pPr>
        <w:spacing w:after="0" w:line="134" w:lineRule="exact"/>
        <w:rPr>
          <w:sz w:val="20"/>
          <w:szCs w:val="20"/>
          <w:color w:val="auto"/>
        </w:rPr>
      </w:pPr>
    </w:p>
    <w:p>
      <w:pPr>
        <w:ind w:right="940"/>
        <w:spacing w:after="0" w:line="328" w:lineRule="auto"/>
        <w:rPr>
          <w:sz w:val="20"/>
          <w:szCs w:val="20"/>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xml:space="preserve"> The Company will pay you a base salary at an annual rate of $300,000, paid at a bi weekly rate of $11,538.46 (subject to periodic review and adjustment at the discretion of the Company).</w:t>
      </w:r>
    </w:p>
    <w:p>
      <w:pPr>
        <w:spacing w:after="0" w:line="105"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xml:space="preserve"> You will be eligible to receive an annual performance bonus. The Company will target the bonus at up to 40% of your annual base salary earnings. The actual bonus percentage is discretionary and will be subject to your achievement of the metrics and goals established by and agreed to with Kevin Hrusovsky. For 2019, your target bonus will be 40% of your annual base salary of $300,000, or $120,000. The bonus also will be subject to your employment for the full period covered by the bonus, approval by and adjustment at the discretion of the Company and Company's Board of Directors, and the terms of any applicable bonus plan. You must be actively employed by Quanterix on the date the bonus is paid to receive a performance bonus.</w:t>
      </w:r>
    </w:p>
    <w:p>
      <w:pPr>
        <w:spacing w:after="0" w:line="15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i w:val="1"/>
          <w:iCs w:val="1"/>
          <w:u w:val="single" w:color="auto"/>
          <w:color w:val="auto"/>
        </w:rPr>
        <w:t>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You will be eligible to participate in the employee benefits and insurance programs generally made</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to its full-time employees, including medical insurance, dental insurance, 401K Plan and match, ESPP, Flexible Spending Account, term life insurance, and short and long term disability insurance. Details of these benefits programs, including mandatory employee contributions, will be made available to you when you start. You also will be eligible to receive paid vacation time. You will be eligible for up to 20 days of paid vacation per year, which shall accrue on a prorated basis. Other provisions of the Company's vacation policy are set forth in the policy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1524635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358140</wp:posOffset>
            </wp:positionV>
            <wp:extent cx="5342890" cy="823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342890" cy="82359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1" w:name="page52"/>
    <w:bookmarkEnd w:id="51"/>
    <w:p>
      <w:pPr>
        <w:ind w:right="20"/>
        <w:spacing w:after="0" w:line="271" w:lineRule="auto"/>
        <w:rPr>
          <w:sz w:val="20"/>
          <w:szCs w:val="20"/>
          <w:color w:val="auto"/>
        </w:rPr>
      </w:pPr>
      <w:r>
        <w:rPr>
          <w:rFonts w:ascii="Arial" w:cs="Arial" w:eastAsia="Arial" w:hAnsi="Arial"/>
          <w:sz w:val="19"/>
          <w:szCs w:val="19"/>
          <w:i w:val="1"/>
          <w:iCs w:val="1"/>
          <w:u w:val="single" w:color="auto"/>
          <w:color w:val="auto"/>
        </w:rPr>
        <w:t>Stock Options &amp; RSUs</w:t>
      </w:r>
      <w:r>
        <w:rPr>
          <w:rFonts w:ascii="Arial" w:cs="Arial" w:eastAsia="Arial" w:hAnsi="Arial"/>
          <w:sz w:val="19"/>
          <w:szCs w:val="19"/>
          <w:color w:val="auto"/>
        </w:rPr>
        <w:t>: We will recommend to the Compensation Committee that you be granted a new hire award</w:t>
      </w:r>
      <w:r>
        <w:rPr>
          <w:rFonts w:ascii="Arial" w:cs="Arial" w:eastAsia="Arial" w:hAnsi="Arial"/>
          <w:sz w:val="19"/>
          <w:szCs w:val="19"/>
          <w:i w:val="1"/>
          <w:iCs w:val="1"/>
          <w:color w:val="auto"/>
        </w:rPr>
        <w:t xml:space="preserve"> </w:t>
      </w:r>
      <w:r>
        <w:rPr>
          <w:rFonts w:ascii="Arial" w:cs="Arial" w:eastAsia="Arial" w:hAnsi="Arial"/>
          <w:sz w:val="19"/>
          <w:szCs w:val="19"/>
          <w:color w:val="auto"/>
        </w:rPr>
        <w:t>of 11,834 Restricted Stock Units (“RSUs”) and an option to purchase 17,354 shares (“Options”) of the Company’s common stock, with an exercise price equal to the stock’s fair market value on the later of (i) the date your award is approved by the Compensation Committee; and (ii) your effective date of employment. The RSUs and Options will vest over four years, with 25% vesting on the first anniversary of your start date, and the remaining vesting ratably on a monthly basis over the next three years. Notwithstanding the foregoing, in the event of the Company’s consummation of a Sale Event (as defined below) within the first eighteen (18) months after your effective date of employment and while you remain employed by the Company, then: (1) you immediately will vest in fifty percent (50%) of any unvested outstanding portion of the RSUs and Options (with any such vesting, as stated below, pursuant to the terms and conditions of the Quanterix 2017 Employee, Director and Consultant Equity Incentive Plan and any associated agreement required to be entered into by you and the Company), and (2) any remaining unvested RSUs and Options (after giving effect to the aforementioned vesting acceleration) will vest on the original vesting schedule applicable to the RSUs and Options, with the vesting amounts to be reduced and pro-rated to reflect the above-described acceleration.</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You will also be eligible to receive an annual equity grant as part of the Company’s next equity awards cycle, which we expect to commence in the first quarter of 2020. The Company will target a grant date fair value of the annual equity awards of up to $375,000. The target value of your award will be discretionary and will be subject to your achievement of the metrics and goals established by and agreed to with Kevin Hrusovsky. Your equity grant will be subject to valuation methodologies and other terms and conditions applicable to other similarly situated executives of the Company, and will be subject to Compensation Committee approval.</w:t>
      </w:r>
    </w:p>
    <w:p>
      <w:pPr>
        <w:spacing w:after="0" w:line="151" w:lineRule="exact"/>
        <w:rPr>
          <w:sz w:val="20"/>
          <w:szCs w:val="20"/>
          <w:color w:val="auto"/>
        </w:rPr>
      </w:pPr>
    </w:p>
    <w:p>
      <w:pPr>
        <w:ind w:right="240"/>
        <w:spacing w:after="0" w:line="274" w:lineRule="auto"/>
        <w:rPr>
          <w:sz w:val="20"/>
          <w:szCs w:val="20"/>
          <w:color w:val="auto"/>
        </w:rPr>
      </w:pPr>
      <w:r>
        <w:rPr>
          <w:rFonts w:ascii="Arial" w:cs="Arial" w:eastAsia="Arial" w:hAnsi="Arial"/>
          <w:sz w:val="21"/>
          <w:szCs w:val="21"/>
          <w:color w:val="auto"/>
        </w:rPr>
        <w:t>Your equity awards will be governed by the Quanterix 2017 Employee, Director and Consultant Equity Incentive Plan and any associated agreement required to be entered into by you and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At-Will Employment; Accrued Obligations; Severance</w:t>
      </w:r>
    </w:p>
    <w:p>
      <w:pPr>
        <w:spacing w:after="0" w:line="206"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Your employment is “at will,” meaning you or the Company may terminate it at any time for any or no reason. In the event of the termination of your employment for any reason, the Company shall pay you the “Accrued Obligations,” defined as (1) your base salary through the date of termination, (2) an amount equal to the value of your accrued unused vacation days, and (3) the amount of any expenses properly incurred by you on behalf of the Company prior to any such termination and not yet reimbursed. In addition, in the event the Company terminates your employment without Cause (as defined below), the Company shall provide you with the following termination benefits (the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761365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18" w:right="959" w:bottom="1440" w:gutter="0" w:footer="0" w:header="0"/>
        </w:sectPr>
      </w:pPr>
    </w:p>
    <w:bookmarkStart w:id="52" w:name="page53"/>
    <w:bookmarkEnd w:id="52"/>
    <w:p>
      <w:pPr>
        <w:ind w:left="1" w:right="160" w:hanging="1"/>
        <w:spacing w:after="0" w:line="287" w:lineRule="auto"/>
        <w:tabs>
          <w:tab w:leader="none" w:pos="853"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continuation of your base salary for a period of six (6) months after the date of termination at the salary rate then in effect (“Salary Continuation Payments”) (solely for purposes of Section 409A of the Internal Revenue Code of 1986, as amended, each Salary Continuation Payment is considered a separate payment). RSU’s and Options that otherwise would have vested during this severance period will vest and will not be forfeited;</w:t>
      </w:r>
    </w:p>
    <w:p>
      <w:pPr>
        <w:spacing w:after="0" w:line="143" w:lineRule="exact"/>
        <w:rPr>
          <w:rFonts w:ascii="Arial" w:cs="Arial" w:eastAsia="Arial" w:hAnsi="Arial"/>
          <w:sz w:val="19"/>
          <w:szCs w:val="19"/>
          <w:color w:val="auto"/>
        </w:rPr>
      </w:pPr>
    </w:p>
    <w:p>
      <w:pPr>
        <w:ind w:left="1" w:right="80" w:hanging="1"/>
        <w:spacing w:after="0" w:line="273" w:lineRule="auto"/>
        <w:tabs>
          <w:tab w:leader="none" w:pos="9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six</w:t>
      </w:r>
    </w:p>
    <w:p>
      <w:pPr>
        <w:spacing w:after="0" w:line="1" w:lineRule="exact"/>
        <w:rPr>
          <w:rFonts w:ascii="Arial" w:cs="Arial" w:eastAsia="Arial" w:hAnsi="Arial"/>
          <w:sz w:val="19"/>
          <w:szCs w:val="19"/>
          <w:color w:val="auto"/>
        </w:rPr>
      </w:pPr>
    </w:p>
    <w:p>
      <w:pPr>
        <w:ind w:left="1"/>
        <w:spacing w:after="0" w:line="267" w:lineRule="auto"/>
        <w:rPr>
          <w:rFonts w:ascii="Arial" w:cs="Arial" w:eastAsia="Arial" w:hAnsi="Arial"/>
          <w:sz w:val="19"/>
          <w:szCs w:val="19"/>
          <w:color w:val="auto"/>
        </w:rPr>
      </w:pPr>
      <w:r>
        <w:rPr>
          <w:rFonts w:ascii="Arial" w:cs="Arial" w:eastAsia="Arial" w:hAnsi="Arial"/>
          <w:sz w:val="19"/>
          <w:szCs w:val="19"/>
          <w:color w:val="auto"/>
        </w:rPr>
        <w:t>(6) months from the termination date; or (ii) the date you become eligible for health benefits through another employer or otherwise become ineligible for COBRA (“Health Benefits Continuation Payments”). Notwithstanding</w:t>
      </w:r>
    </w:p>
    <w:p>
      <w:pPr>
        <w:ind w:left="1" w:right="20"/>
        <w:spacing w:after="0" w:line="272" w:lineRule="auto"/>
        <w:rPr>
          <w:sz w:val="20"/>
          <w:szCs w:val="20"/>
          <w:color w:val="auto"/>
        </w:rPr>
      </w:pPr>
      <w:r>
        <w:rPr>
          <w:rFonts w:ascii="Arial" w:cs="Arial" w:eastAsia="Arial" w:hAnsi="Arial"/>
          <w:sz w:val="19"/>
          <w:szCs w:val="19"/>
          <w:color w:val="auto"/>
        </w:rPr>
        <w:t>the above, if the Company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(y) the date upon which you obtain other employment; or (z) the last day of the sixth (6th) calendar month following your termination date;</w:t>
      </w:r>
    </w:p>
    <w:p>
      <w:pPr>
        <w:spacing w:after="0" w:line="157" w:lineRule="exact"/>
        <w:rPr>
          <w:sz w:val="20"/>
          <w:szCs w:val="20"/>
          <w:color w:val="auto"/>
        </w:rPr>
      </w:pPr>
    </w:p>
    <w:p>
      <w:pPr>
        <w:ind w:left="1" w:right="80" w:hanging="1"/>
        <w:spacing w:after="0" w:line="271" w:lineRule="auto"/>
        <w:tabs>
          <w:tab w:leader="none" w:pos="973"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the date of termination occurs within the twelve (12) month period immediately following a Sale Event (such a termination a “Sale Event Termination”), then your Salary Continuation Payments and Health Benefits Continuation Payments shall continue for a period of twelve (12) months after the date of termination (such 12 month continuation period to be in lieu of, and not in addition to, the 6-month period referenced in (i) and</w:t>
      </w:r>
    </w:p>
    <w:p>
      <w:pPr>
        <w:spacing w:after="0" w:line="3" w:lineRule="exact"/>
        <w:rPr>
          <w:rFonts w:ascii="Arial" w:cs="Arial" w:eastAsia="Arial" w:hAnsi="Arial"/>
          <w:sz w:val="19"/>
          <w:szCs w:val="19"/>
          <w:color w:val="auto"/>
        </w:rPr>
      </w:pPr>
    </w:p>
    <w:p>
      <w:pPr>
        <w:ind w:left="321" w:hanging="321"/>
        <w:spacing w:after="0"/>
        <w:tabs>
          <w:tab w:leader="none" w:pos="3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above); and</w:t>
      </w:r>
    </w:p>
    <w:p>
      <w:pPr>
        <w:spacing w:after="0" w:line="188" w:lineRule="exact"/>
        <w:rPr>
          <w:rFonts w:ascii="Arial" w:cs="Arial" w:eastAsia="Arial" w:hAnsi="Arial"/>
          <w:sz w:val="22"/>
          <w:szCs w:val="22"/>
          <w:color w:val="auto"/>
        </w:rPr>
      </w:pPr>
    </w:p>
    <w:p>
      <w:pPr>
        <w:jc w:val="both"/>
        <w:ind w:left="1" w:right="220" w:hanging="1"/>
        <w:spacing w:after="0" w:line="238" w:lineRule="auto"/>
        <w:tabs>
          <w:tab w:leader="none" w:pos="961"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a Sale Event Termination occurs after the first eighteen (18) months after your effective date of employment, you will receive additional vesting of all outstanding equity awards held by you (including the Options and RSUs) equal to an amount that would have vested during the twelve (12) month Salary Continuation Payments period.</w:t>
      </w:r>
    </w:p>
    <w:p>
      <w:pPr>
        <w:spacing w:after="0" w:line="185" w:lineRule="exact"/>
        <w:rPr>
          <w:sz w:val="20"/>
          <w:szCs w:val="20"/>
          <w:color w:val="auto"/>
        </w:rPr>
      </w:pPr>
    </w:p>
    <w:p>
      <w:pPr>
        <w:ind w:left="1" w:right="140"/>
        <w:spacing w:after="0" w:line="247" w:lineRule="auto"/>
        <w:rPr>
          <w:sz w:val="20"/>
          <w:szCs w:val="20"/>
          <w:color w:val="auto"/>
        </w:rPr>
      </w:pPr>
      <w:r>
        <w:rPr>
          <w:rFonts w:ascii="Arial" w:cs="Arial" w:eastAsia="Arial" w:hAnsi="Arial"/>
          <w:sz w:val="21"/>
          <w:szCs w:val="21"/>
          <w:color w:val="auto"/>
        </w:rPr>
        <w:t>Notwithstanding anything to the contrary in this agreement, you shall not be entitled to any Termination Benefits unless you first (i) enter into, do not revoke, and comply with the terms of a separation agreement in a form acceptable to the Company, which shall include a general release in favor of the Company and related persons and entities (the “Release”); (ii) resign from any and all positions, including, without implication of limitation, as a director, trustee, and officer, that you then hold with the Company and any affiliate of the Company; (iii) comply with the terms of your Non-Competition, Non-Solicitation, Confidentiality and Assignment Agreement; and (iv) return all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607060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334" w:right="959" w:bottom="1440" w:gutter="0" w:footer="0" w:header="0"/>
        </w:sectPr>
      </w:pPr>
    </w:p>
    <w:bookmarkStart w:id="53" w:name="page54"/>
    <w:bookmarkEnd w:id="53"/>
    <w:p>
      <w:pPr>
        <w:ind w:right="120"/>
        <w:spacing w:after="0" w:line="279" w:lineRule="auto"/>
        <w:rPr>
          <w:sz w:val="20"/>
          <w:szCs w:val="20"/>
          <w:color w:val="auto"/>
        </w:rPr>
      </w:pPr>
      <w:r>
        <w:rPr>
          <w:rFonts w:ascii="Arial" w:cs="Arial" w:eastAsia="Arial" w:hAnsi="Arial"/>
          <w:sz w:val="19"/>
          <w:szCs w:val="19"/>
          <w:color w:val="auto"/>
        </w:rPr>
        <w:t>property and comply with any instructions related to deleting and purging duplicates of such Company property.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the first Salary Continuation Payment shall include a “catch up” payment.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(ii) dishonesty, gross negligence, misconduct, neglect of duties, or breach of fiduciary duty to the Company; (iii) violation of federal or state securities laws; (iv) breach of an employment, consulting or other agreement with the Company; (v) the conviction of a felony, or any crime involving moral turpitude, including a plea of guilty or nolo contendere; or (vi) continued non- performance or unsatisfactory performance of your responsibilities hereunder. “Cause Process” means that (1) the Company has reasonably determined in good faith that a “Cause” condition has occurred; (2) the Company has notified you in writing of the first occurrence of the Cause condition within 60 days of the first occurrence of such condition; (3) you are provided a period of 30 days following such notice (the “Cause Cure Period”)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w:t>
      </w:r>
    </w:p>
    <w:p>
      <w:pPr>
        <w:spacing w:after="0" w:line="197"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Event</w:t>
      </w:r>
      <w:r>
        <w:rPr>
          <w:rFonts w:ascii="Arial" w:cs="Arial" w:eastAsia="Arial" w:hAnsi="Arial"/>
          <w:sz w:val="22"/>
          <w:szCs w:val="22"/>
          <w:color w:val="auto"/>
        </w:rPr>
        <w:t>” means the consummation of: (i) the sale of all or substantially all of the assets of the Company and its Subsidiaries on a consolidated basis to an unrelated person or entity; or (ii) a merger, reorganization or consolidation in which the outstanding shares of Stock are converted into or exchanged for securities of the successor entity and the holders of the Company’s outstanding voting power immediately prior to such transaction do not own at least a majority of the outstanding voting power of the successor entity immediately upon completion of such transaction (taking into account only ownership interests resulting from pre-transaction interests in the Company).</w:t>
      </w:r>
    </w:p>
    <w:p>
      <w:pPr>
        <w:spacing w:after="0" w:line="191"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Representation Regarding Other Obligations: This offer is conditioned on your representation that you are not subject to any confidentiality, non-competition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603885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54" w:name="page55"/>
    <w:bookmarkEnd w:id="54"/>
    <w:p>
      <w:pPr>
        <w:ind w:right="40"/>
        <w:spacing w:after="0" w:line="258" w:lineRule="auto"/>
        <w:rPr>
          <w:sz w:val="20"/>
          <w:szCs w:val="20"/>
          <w:color w:val="auto"/>
        </w:rPr>
      </w:pPr>
      <w:r>
        <w:rPr>
          <w:rFonts w:ascii="Arial" w:cs="Arial" w:eastAsia="Arial" w:hAnsi="Arial"/>
          <w:sz w:val="21"/>
          <w:szCs w:val="21"/>
          <w:color w:val="auto"/>
        </w:rPr>
        <w:t>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Other Terms: Your employment with the Company shall be on an at-will basis. In other words, you or the Company may terminate employment for any reason and at any time, with or without notice. Similarly, the terms of employment outlined in this letter are subject to change at any time. You also will be required to sign the Company’s standard “Employee Non-Competition, Non-Solicitation, Confidentiality and Assignment Agreement” as a condition of your employment. A copy of that Agreement is enclosed. In addition, as with all employees, our offer to you is contingent on your submission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satisfactory proof of your identity and your legal authorization to work in the United States.</w:t>
      </w:r>
    </w:p>
    <w:p>
      <w:pPr>
        <w:spacing w:after="0" w:line="188"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We are excited about the opportunity to work with you at Quanterix. If you have any questions about this information, please do not hesitate to call. Otherwise, please confirm your acceptance of this offer of employment by signing below and returning a copy to me no later than July 22, 2019.</w:t>
      </w:r>
    </w:p>
    <w:p>
      <w:pPr>
        <w:spacing w:after="0" w:line="186"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We are confident that with your background and skills, you will have an immediate positive impact on our organization.</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Kevin Hrusovsky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Kevin Hrusovsky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Chairman, CEO and President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ACCEPTED:</w:t>
      </w:r>
    </w:p>
    <w:p>
      <w:pPr>
        <w:spacing w:after="0" w:line="206"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 Amee Desjourdy</w:t>
      </w:r>
      <w:r>
        <w:rPr>
          <w:sz w:val="20"/>
          <w:szCs w:val="20"/>
          <w:color w:val="auto"/>
        </w:rPr>
        <w:tab/>
      </w:r>
      <w:r>
        <w:rPr>
          <w:rFonts w:ascii="Arial" w:cs="Arial" w:eastAsia="Arial" w:hAnsi="Arial"/>
          <w:sz w:val="19"/>
          <w:szCs w:val="19"/>
          <w:color w:val="auto"/>
        </w:rPr>
        <w:t>7/22/19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18" w:right="9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21" w:hanging="621"/>
        <w:spacing w:after="0"/>
        <w:tabs>
          <w:tab w:leader="none" w:pos="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left="1" w:right="80" w:hanging="1"/>
        <w:spacing w:after="0" w:line="264" w:lineRule="auto"/>
        <w:tabs>
          <w:tab w:leader="none" w:pos="6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firstLine="8"/>
        <w:spacing w:after="0" w:line="312" w:lineRule="auto"/>
        <w:tabs>
          <w:tab w:leader="none" w:pos="1321"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641" w:right="20" w:firstLine="8"/>
        <w:spacing w:after="0" w:line="286" w:lineRule="auto"/>
        <w:tabs>
          <w:tab w:leader="none" w:pos="1286"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280" w:firstLine="8"/>
        <w:spacing w:after="0" w:line="264" w:lineRule="auto"/>
        <w:tabs>
          <w:tab w:leader="none" w:pos="13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41" w:right="320" w:firstLine="8"/>
        <w:spacing w:after="0" w:line="286" w:lineRule="auto"/>
        <w:tabs>
          <w:tab w:leader="none" w:pos="1286"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 w:right="380" w:hanging="1"/>
        <w:spacing w:after="0" w:line="264"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40" w:firstLine="8"/>
        <w:spacing w:after="0" w:line="264" w:lineRule="auto"/>
        <w:tabs>
          <w:tab w:leader="none" w:pos="13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right="460" w:firstLine="8"/>
        <w:spacing w:after="0" w:line="277" w:lineRule="auto"/>
        <w:tabs>
          <w:tab w:leader="none" w:pos="12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8, 2019</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984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21" w:hanging="621"/>
        <w:spacing w:after="0"/>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left="1" w:right="80" w:hanging="1"/>
        <w:spacing w:after="0" w:line="264" w:lineRule="auto"/>
        <w:tabs>
          <w:tab w:leader="none" w:pos="6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firstLine="8"/>
        <w:spacing w:after="0" w:line="312" w:lineRule="auto"/>
        <w:tabs>
          <w:tab w:leader="none" w:pos="1321"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641" w:right="20" w:firstLine="8"/>
        <w:spacing w:after="0" w:line="286" w:lineRule="auto"/>
        <w:tabs>
          <w:tab w:leader="none" w:pos="1286"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280" w:firstLine="8"/>
        <w:spacing w:after="0" w:line="264" w:lineRule="auto"/>
        <w:tabs>
          <w:tab w:leader="none" w:pos="13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41" w:right="320" w:firstLine="8"/>
        <w:spacing w:after="0" w:line="286" w:lineRule="auto"/>
        <w:tabs>
          <w:tab w:leader="none" w:pos="1286"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 w:right="380" w:hanging="1"/>
        <w:spacing w:after="0" w:line="264"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40" w:firstLine="8"/>
        <w:spacing w:after="0" w:line="264" w:lineRule="auto"/>
        <w:tabs>
          <w:tab w:leader="none" w:pos="13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right="460" w:firstLine="8"/>
        <w:spacing w:after="0" w:line="277" w:lineRule="auto"/>
        <w:tabs>
          <w:tab w:leader="none" w:pos="12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8, 2019</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8"/>
          <w:szCs w:val="18"/>
          <w:color w:val="auto"/>
        </w:rPr>
        <w:t>/s/ Amol Chaubal</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984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Quarterly Report for the period ended September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640"/>
              <w:spacing w:after="0"/>
              <w:rPr>
                <w:sz w:val="20"/>
                <w:szCs w:val="20"/>
                <w:color w:val="auto"/>
              </w:rPr>
            </w:pPr>
            <w:r>
              <w:rPr>
                <w:rFonts w:ascii="Arial" w:cs="Arial" w:eastAsia="Arial" w:hAnsi="Arial"/>
                <w:sz w:val="18"/>
                <w:szCs w:val="18"/>
                <w:color w:val="auto"/>
              </w:rPr>
              <w:t>Dated: November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5040" w:type="dxa"/>
            <w:vAlign w:val="bottom"/>
          </w:tcPr>
          <w:p>
            <w:pPr>
              <w:ind w:left="640"/>
              <w:spacing w:after="0"/>
              <w:rPr>
                <w:sz w:val="20"/>
                <w:szCs w:val="20"/>
                <w:color w:val="auto"/>
              </w:rPr>
            </w:pPr>
            <w:r>
              <w:rPr>
                <w:rFonts w:ascii="Arial" w:cs="Arial" w:eastAsia="Arial" w:hAnsi="Arial"/>
                <w:sz w:val="18"/>
                <w:szCs w:val="18"/>
                <w:color w:val="auto"/>
              </w:rPr>
              <w:t>Dated: November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
    </w:lvl>
  </w:abstractNum>
  <w:abstractNum w:abstractNumId="3">
    <w:nsid w:val="4DB127F8"/>
    <w:multiLevelType w:val="hybridMultilevel"/>
    <w:lvl w:ilvl="0">
      <w:lvlJc w:val="left"/>
      <w:lvlText w:val="%1."/>
      <w:numFmt w:val="decimal"/>
      <w:start w:val="11"/>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3"/>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Roman"/>
      <w:start w:val="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57" Type="http://schemas.openxmlformats.org/officeDocument/2006/relationships/hyperlink" Target="http://www.sec.gov/Archives/edgar/data/1503274/000110465919043335/a19-16461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2019-12-28T02:04:26Z</dcterms:created>
  <dcterms:modified xsi:type="dcterms:W3CDTF">2019-12-28T02:04:26Z</dcterms:modified>
</cp:coreProperties>
</file>