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Magovcevic-Liebisch Ivana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15,883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October 2, 2024, the reporting person was granted 12,800 restricted stock units, vesting 33%, 33%, and 34% on the first, second, and third anniversaries of the grant date,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imliebischpoa.txt"/>
      <w:bookmarkStart w:id="3" w:name="ksimliebisch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Laurie Churchill, Brian Keane, David</w:t>
      </w:r>
    </w:p>
    <w:p>
      <w:pPr>
        <w:pStyle w:val="PreformattedText"/>
        <w:bidi w:val="0"/>
        <w:spacing w:before="0" w:after="0"/>
        <w:jc w:val="left"/>
        <w:rPr/>
      </w:pPr>
      <w:r>
        <w:rPr/>
        <w:t>Engvall, Elizabeth Brown and Bonnie McManus as the undersigned's true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 beneficial owner of Quanterix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(the "Company"), Forms 3, 4, and 5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16(a) of the Securities Exchange Act of 1934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rules thereunder and Schedules 13D and 13G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13 of the Securities Exchange Act of 1934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or 5 or Schedules 13D or 13G,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and execute any amendment or amendments thereto,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timely file such form with the U.S.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(the "SEC") and any securities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by, the undersigned, it being understood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also ratifies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any action previously taken by each attorney-in-fact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have been authorized by this power of attorney if it has been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effect at the time such action was taken.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each foregoing attorney-in-fact,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is not assuming, nor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assuming, any of the undersigned's responsibilities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Sections 13 and 16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 4,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Schedules 13D and 13G with respect to the undersigned's holdings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transactions in securities issued by the Company,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2 day of October 2024.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/s/ Ivana Magovcevic-Liebisch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Ivana Magovcevic-Liebisch, Ph.D., J.D.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9281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1135</Words>
  <Characters>6047</Characters>
  <CharactersWithSpaces>7143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