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DONNELLY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160,305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stock granted in lieu of cash fees for service on the Company's Board of Directors and committees thereof for the second quarter of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wdonnellypoaupdate.txt"/>
      <w:bookmarkStart w:id="3" w:name="kswdonnellypoaupdate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Daniel Char, Michael Lanieri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Meghan Shevlin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 beneficial owner of Quanterix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(the "Company"), Forms 3, 4, and 5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16(a) of the Securities Exchange Act of 1934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rules thereunder and Schedules 13D and 13G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13 of the Securities Exchange Act of 1934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 or Schedules 13D or 13G,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execute any amendment or amendments thereto,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timely file such form with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 and any securities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also ratifies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any action previously taken by each attorney-in-fact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have been authorized by this power of attorney if it has been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effect at the time such action was taken.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each foregoing attorney-in-fact,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is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assuming, any of the undersigned's responsibilities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Sections 13 and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superseded all previously granted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of attorney relating to the execution of the forms and schedules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described in paragraph (1) above. This Power of Attorney shall remain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full force and effect until the undersigned is no longer required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Forms 3, 4, and 5 and Schedules 13D and 13G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each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8th day of June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William Donnelly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William Donnelly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928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1121</Words>
  <Characters>5932</Characters>
  <CharactersWithSpaces>6979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