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LAI GOLDMAN MYLA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QUANTERIX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MIDDLESEX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BILLERICA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Quanterix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8,073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15,041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8,073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8,073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16,391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July 8, 2025, the reporting person was granted 24,464 restricted stock units, vesting 33%, 33%, and 34% on the first, second, and third anniversaries of the grant date, respectively.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Shevlin,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goldmanpoaupdate.txt"/>
      <w:bookmarkStart w:id="3" w:name="ksgoldmanpoaupdate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Know all by these presents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Daniel Char, Michael Lanieri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Meghan Shevlin as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 beneficial owner of Quanterix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(the "Company"), Forms 3, 4, and 5 in accordance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16(a) of the Securities Exchange Act of 1934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rules thereunder and Schedules 13D and 13G in accordance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13 of the Securities Exchange Act of 1934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 3, 4, or 5 or Schedules 13D or 13G,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complete and execute any amendment or amendments thereto,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timely file such form with the U.S.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(the "SEC") and any securities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take any other action of any type whatsoever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by, the undersigned, it being understood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executed by such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shall be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and shall contain such terms and conditions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may approve in such attorney-in-fact's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The undersigned also ratifies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any action previously taken by each attorney-in-fact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would have been authorized by this power of attorney if it has been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effect at the time such action was taken.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each foregoing attorney-in-fact, in serving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at the request of the undersigned, is not assuming, nor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assuming, any of the undersigned's responsibilities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comply with Sections 13 and 16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Power of Attorney superseded all previously granted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of attorney relating to the execution of the forms and schedules</w:t>
      </w:r>
    </w:p>
    <w:p>
      <w:pPr>
        <w:pStyle w:val="PreformattedText"/>
        <w:bidi w:val="0"/>
        <w:spacing w:before="0" w:after="0"/>
        <w:jc w:val="left"/>
        <w:rPr/>
      </w:pPr>
      <w:r>
        <w:rPr/>
        <w:t>described in paragraph (1) above. This Power of Attorney shall remain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full force and effect until the undersigned is no longer required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 Forms 3, 4, and 5 and Schedules 13D and 13G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of and transactions in securities issued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each 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8th day of June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Myla Lai-Goldman</w:t>
      </w:r>
    </w:p>
    <w:p>
      <w:pPr>
        <w:pStyle w:val="PreformattedText"/>
        <w:bidi w:val="0"/>
        <w:spacing w:before="0" w:after="0"/>
        <w:jc w:val="left"/>
        <w:rPr/>
      </w:pPr>
      <w:r>
        <w:rPr/>
        <w:t>Myla Lai-Goldman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68581" TargetMode="External"/><Relationship Id="rId5" Type="http://schemas.openxmlformats.org/officeDocument/2006/relationships/hyperlink" Target="http://www.sec.gov/cgi-bin/browse-edgar?action=getcompany&amp;CIK=0001503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1152</Words>
  <Characters>6094</Characters>
  <CharactersWithSpaces>7161</CharactersWithSpaces>
  <Paragraphs>167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