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24,056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16,391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July 8, 2025, the reporting person was granted 24,464 restricted stock units, vesting 33%, 33%, and 34% on the first, second, and third anniversaries of the grant date,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051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3349</Characters>
  <CharactersWithSpaces>3894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