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1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285115</wp:posOffset>
            </wp:positionH>
            <wp:positionV relativeFrom="page">
              <wp:posOffset>843280</wp:posOffset>
            </wp:positionV>
            <wp:extent cx="69862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86270" cy="8255"/>
                    </a:xfrm>
                    <a:prstGeom prst="rect">
                      <a:avLst/>
                    </a:prstGeom>
                    <a:noFill/>
                  </pic:spPr>
                </pic:pic>
              </a:graphicData>
            </a:graphic>
          </wp:anchor>
        </w:drawing>
        <w:drawing>
          <wp:anchor simplePos="0" relativeHeight="251657728" behindDoc="1" locked="0" layoutInCell="0" allowOverlap="1">
            <wp:simplePos x="0" y="0"/>
            <wp:positionH relativeFrom="page">
              <wp:posOffset>285115</wp:posOffset>
            </wp:positionH>
            <wp:positionV relativeFrom="page">
              <wp:posOffset>868680</wp:posOffset>
            </wp:positionV>
            <wp:extent cx="69862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6"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1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44"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9, 2026</w:t>
      </w:r>
    </w:p>
    <w:p>
      <w:pPr>
        <w:spacing w:after="0" w:line="229"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8"/>
          <w:szCs w:val="18"/>
          <w:color w:val="auto"/>
        </w:rPr>
        <w:t>_________________________________________________</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QUANTERIX CORPORATION</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11"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8"/>
          <w:szCs w:val="18"/>
          <w:color w:val="auto"/>
        </w:rPr>
        <w:t>_________________________________________________</w:t>
      </w:r>
    </w:p>
    <w:p>
      <w:pPr>
        <w:sectPr>
          <w:pgSz w:w="11900" w:h="16838" w:orient="portrait"/>
          <w:cols w:equalWidth="0" w:num="1">
            <w:col w:w="11240"/>
          </w:cols>
          <w:pgMar w:left="320" w:top="1440" w:right="339" w:bottom="1440" w:gutter="0" w:footer="0" w:header="0"/>
        </w:sectPr>
      </w:pPr>
    </w:p>
    <w:p>
      <w:pPr>
        <w:spacing w:after="0" w:line="253"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233" w:lineRule="exact"/>
        <w:rPr>
          <w:sz w:val="24"/>
          <w:szCs w:val="24"/>
          <w:color w:val="auto"/>
        </w:rPr>
      </w:pPr>
    </w:p>
    <w:p>
      <w:pPr>
        <w:jc w:val="center"/>
        <w:ind w:right="2200"/>
        <w:spacing w:after="0"/>
        <w:rPr>
          <w:sz w:val="20"/>
          <w:szCs w:val="20"/>
          <w:color w:val="auto"/>
        </w:rPr>
      </w:pPr>
      <w:r>
        <w:rPr>
          <w:rFonts w:ascii="Times New Roman" w:cs="Times New Roman" w:eastAsia="Times New Roman" w:hAnsi="Times New Roman"/>
          <w:sz w:val="17"/>
          <w:szCs w:val="17"/>
          <w:b w:val="1"/>
          <w:bCs w:val="1"/>
          <w:color w:val="auto"/>
        </w:rPr>
        <w:t>001-38319</w:t>
      </w:r>
    </w:p>
    <w:p>
      <w:pPr>
        <w:spacing w:after="0" w:line="20" w:lineRule="exact"/>
        <w:rPr>
          <w:sz w:val="24"/>
          <w:szCs w:val="24"/>
          <w:color w:val="auto"/>
        </w:rPr>
      </w:pPr>
      <w:r>
        <w:rPr>
          <w:sz w:val="24"/>
          <w:szCs w:val="24"/>
          <w:color w:val="auto"/>
        </w:rPr>
        <w:br w:type="column"/>
      </w: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20-8957988</w:t>
      </w:r>
    </w:p>
    <w:p>
      <w:pPr>
        <w:spacing w:after="0" w:line="12" w:lineRule="exact"/>
        <w:rPr>
          <w:sz w:val="24"/>
          <w:szCs w:val="24"/>
          <w:color w:val="auto"/>
        </w:rPr>
      </w:pPr>
    </w:p>
    <w:p>
      <w:pPr>
        <w:sectPr>
          <w:pgSz w:w="11900" w:h="16838" w:orient="portrait"/>
          <w:cols w:equalWidth="0" w:num="3">
            <w:col w:w="4500" w:space="720"/>
            <w:col w:w="2980" w:space="720"/>
            <w:col w:w="2320"/>
          </w:cols>
          <w:pgMar w:left="320" w:top="1440" w:right="339" w:bottom="1440" w:gutter="0" w:footer="0" w:header="0"/>
          <w:type w:val="continuous"/>
        </w:sectPr>
      </w:pPr>
    </w:p>
    <w:p>
      <w:pPr>
        <w:jc w:val="center"/>
        <w:ind w:right="360"/>
        <w:spacing w:after="0"/>
        <w:rPr>
          <w:sz w:val="20"/>
          <w:szCs w:val="20"/>
          <w:color w:val="auto"/>
        </w:rPr>
      </w:pPr>
      <w:r>
        <w:rPr>
          <w:rFonts w:ascii="Times New Roman" w:cs="Times New Roman" w:eastAsia="Times New Roman" w:hAnsi="Times New Roman"/>
          <w:sz w:val="14"/>
          <w:szCs w:val="14"/>
          <w:color w:val="auto"/>
        </w:rPr>
        <w:t>(State or other jurisdiction</w:t>
      </w:r>
    </w:p>
    <w:p>
      <w:pPr>
        <w:jc w:val="center"/>
        <w:ind w:right="360"/>
        <w:spacing w:after="0"/>
        <w:rPr>
          <w:sz w:val="20"/>
          <w:szCs w:val="20"/>
          <w:color w:val="auto"/>
        </w:rPr>
      </w:pPr>
      <w:r>
        <w:rPr>
          <w:rFonts w:ascii="Times New Roman" w:cs="Times New Roman" w:eastAsia="Times New Roman" w:hAnsi="Times New Roman"/>
          <w:sz w:val="14"/>
          <w:szCs w:val="14"/>
          <w:color w:val="auto"/>
        </w:rPr>
        <w:t>of incorporation)</w:t>
      </w:r>
    </w:p>
    <w:p>
      <w:pPr>
        <w:spacing w:after="0" w:line="20" w:lineRule="exact"/>
        <w:rPr>
          <w:sz w:val="24"/>
          <w:szCs w:val="24"/>
          <w:color w:val="auto"/>
        </w:rPr>
      </w:pPr>
      <w:r>
        <w:rPr>
          <w:sz w:val="24"/>
          <w:szCs w:val="24"/>
          <w:color w:val="auto"/>
        </w:rPr>
        <w:br w:type="column"/>
      </w:r>
    </w:p>
    <w:p>
      <w:pPr>
        <w:jc w:val="center"/>
        <w:ind w:right="1700"/>
        <w:spacing w:after="0"/>
        <w:rPr>
          <w:sz w:val="20"/>
          <w:szCs w:val="20"/>
          <w:color w:val="auto"/>
        </w:rPr>
      </w:pPr>
      <w:r>
        <w:rPr>
          <w:rFonts w:ascii="Times New Roman" w:cs="Times New Roman" w:eastAsia="Times New Roman" w:hAnsi="Times New Roman"/>
          <w:sz w:val="14"/>
          <w:szCs w:val="14"/>
          <w:color w:val="auto"/>
        </w:rPr>
        <w:t>(Commission File Number)</w:t>
      </w:r>
    </w:p>
    <w:p>
      <w:pPr>
        <w:spacing w:after="0" w:line="20" w:lineRule="exact"/>
        <w:rPr>
          <w:sz w:val="24"/>
          <w:szCs w:val="24"/>
          <w:color w:val="auto"/>
        </w:rPr>
      </w:pPr>
      <w:r>
        <w:rPr>
          <w:sz w:val="24"/>
          <w:szCs w:val="24"/>
          <w:color w:val="auto"/>
        </w:rPr>
        <w:br w:type="column"/>
      </w:r>
    </w:p>
    <w:p>
      <w:pPr>
        <w:jc w:val="center"/>
        <w:ind w:right="1340"/>
        <w:spacing w:after="0"/>
        <w:rPr>
          <w:sz w:val="20"/>
          <w:szCs w:val="20"/>
          <w:color w:val="auto"/>
        </w:rPr>
      </w:pPr>
      <w:r>
        <w:rPr>
          <w:rFonts w:ascii="Times New Roman" w:cs="Times New Roman" w:eastAsia="Times New Roman" w:hAnsi="Times New Roman"/>
          <w:sz w:val="14"/>
          <w:szCs w:val="14"/>
          <w:color w:val="auto"/>
        </w:rPr>
        <w:t>(IRS Employer</w:t>
      </w:r>
    </w:p>
    <w:p>
      <w:pPr>
        <w:jc w:val="center"/>
        <w:ind w:right="1340"/>
        <w:spacing w:after="0"/>
        <w:rPr>
          <w:sz w:val="20"/>
          <w:szCs w:val="20"/>
          <w:color w:val="auto"/>
        </w:rPr>
      </w:pPr>
      <w:r>
        <w:rPr>
          <w:rFonts w:ascii="Times New Roman" w:cs="Times New Roman" w:eastAsia="Times New Roman" w:hAnsi="Times New Roman"/>
          <w:sz w:val="14"/>
          <w:szCs w:val="14"/>
          <w:color w:val="auto"/>
        </w:rPr>
        <w:t>Identification No.)</w:t>
      </w:r>
    </w:p>
    <w:p>
      <w:pPr>
        <w:spacing w:after="0" w:line="147" w:lineRule="exact"/>
        <w:rPr>
          <w:sz w:val="24"/>
          <w:szCs w:val="24"/>
          <w:color w:val="auto"/>
        </w:rPr>
      </w:pPr>
    </w:p>
    <w:p>
      <w:pPr>
        <w:sectPr>
          <w:pgSz w:w="11900" w:h="16838" w:orient="portrait"/>
          <w:cols w:equalWidth="0" w:num="3">
            <w:col w:w="4100" w:space="720"/>
            <w:col w:w="3280" w:space="720"/>
            <w:col w:w="2420"/>
          </w:cols>
          <w:pgMar w:left="320" w:top="1440" w:right="339" w:bottom="1440" w:gutter="0" w:footer="0" w:header="0"/>
          <w:type w:val="continuous"/>
        </w:sectPr>
      </w:pPr>
    </w:p>
    <w:p>
      <w:pPr>
        <w:ind w:left="1880"/>
        <w:spacing w:after="0"/>
        <w:rPr>
          <w:sz w:val="20"/>
          <w:szCs w:val="20"/>
          <w:color w:val="auto"/>
        </w:rPr>
      </w:pPr>
      <w:r>
        <w:rPr>
          <w:rFonts w:ascii="Times New Roman" w:cs="Times New Roman" w:eastAsia="Times New Roman" w:hAnsi="Times New Roman"/>
          <w:sz w:val="17"/>
          <w:szCs w:val="17"/>
          <w:b w:val="1"/>
          <w:bCs w:val="1"/>
          <w:color w:val="auto"/>
        </w:rPr>
        <w:t>900 Middlesex Turnpike</w:t>
      </w:r>
    </w:p>
    <w:p>
      <w:pPr>
        <w:sectPr>
          <w:pgSz w:w="11900" w:h="16838" w:orient="portrait"/>
          <w:cols w:equalWidth="0" w:num="1">
            <w:col w:w="11240"/>
          </w:cols>
          <w:pgMar w:left="320" w:top="1440" w:right="339" w:bottom="1440" w:gutter="0" w:footer="0" w:header="0"/>
          <w:type w:val="continuous"/>
        </w:sectPr>
      </w:pPr>
    </w:p>
    <w:p>
      <w:pPr>
        <w:spacing w:after="0" w:line="61" w:lineRule="exact"/>
        <w:rPr>
          <w:sz w:val="24"/>
          <w:szCs w:val="24"/>
          <w:color w:val="auto"/>
        </w:rPr>
      </w:pPr>
    </w:p>
    <w:p>
      <w:pPr>
        <w:ind w:left="2300"/>
        <w:spacing w:after="0"/>
        <w:rPr>
          <w:sz w:val="20"/>
          <w:szCs w:val="20"/>
          <w:color w:val="auto"/>
        </w:rPr>
      </w:pPr>
      <w:r>
        <w:rPr>
          <w:rFonts w:ascii="Times New Roman" w:cs="Times New Roman" w:eastAsia="Times New Roman" w:hAnsi="Times New Roman"/>
          <w:sz w:val="17"/>
          <w:szCs w:val="17"/>
          <w:b w:val="1"/>
          <w:bCs w:val="1"/>
          <w:color w:val="auto"/>
        </w:rPr>
        <w:t>Billerica, MA</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01821</w:t>
      </w:r>
    </w:p>
    <w:p>
      <w:pPr>
        <w:spacing w:after="0" w:line="36" w:lineRule="exact"/>
        <w:rPr>
          <w:sz w:val="24"/>
          <w:szCs w:val="24"/>
          <w:color w:val="auto"/>
        </w:rPr>
      </w:pPr>
    </w:p>
    <w:p>
      <w:pPr>
        <w:sectPr>
          <w:pgSz w:w="11900" w:h="16838" w:orient="portrait"/>
          <w:cols w:equalWidth="0" w:num="2">
            <w:col w:w="7480" w:space="720"/>
            <w:col w:w="3040"/>
          </w:cols>
          <w:pgMar w:left="320" w:top="1440" w:right="339" w:bottom="1440" w:gutter="0" w:footer="0" w:header="0"/>
          <w:type w:val="continuous"/>
        </w:sectPr>
      </w:pPr>
    </w:p>
    <w:p>
      <w:pPr>
        <w:ind w:left="1680"/>
        <w:spacing w:after="0"/>
        <w:rPr>
          <w:sz w:val="20"/>
          <w:szCs w:val="20"/>
          <w:color w:val="auto"/>
        </w:rPr>
      </w:pPr>
      <w:r>
        <w:rPr>
          <w:rFonts w:ascii="Times New Roman" w:cs="Times New Roman" w:eastAsia="Times New Roman" w:hAnsi="Times New Roman"/>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(Zip Code)</w:t>
      </w:r>
    </w:p>
    <w:p>
      <w:pPr>
        <w:spacing w:after="0" w:line="123" w:lineRule="exact"/>
        <w:rPr>
          <w:sz w:val="24"/>
          <w:szCs w:val="24"/>
          <w:color w:val="auto"/>
        </w:rPr>
      </w:pPr>
    </w:p>
    <w:p>
      <w:pPr>
        <w:sectPr>
          <w:pgSz w:w="11900" w:h="16838" w:orient="portrait"/>
          <w:cols w:equalWidth="0" w:num="2">
            <w:col w:w="7400" w:space="720"/>
            <w:col w:w="3120"/>
          </w:cols>
          <w:pgMar w:left="320" w:top="1440"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(617) 301-9400</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22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221" w:lineRule="exact"/>
        <w:rPr>
          <w:sz w:val="24"/>
          <w:szCs w:val="24"/>
          <w:color w:val="auto"/>
        </w:rPr>
      </w:pPr>
    </w:p>
    <w:p>
      <w:pPr>
        <w:spacing w:after="0"/>
        <w:rPr>
          <w:sz w:val="20"/>
          <w:szCs w:val="20"/>
          <w:color w:val="auto"/>
        </w:rPr>
      </w:pPr>
      <w:r>
        <w:rPr>
          <w:rFonts w:ascii="Wingdings" w:cs="Wingdings" w:eastAsia="Wingdings" w:hAnsi="Wingdings"/>
          <w:sz w:val="16"/>
          <w:szCs w:val="16"/>
          <w:b w:val="1"/>
          <w:bCs w:val="1"/>
          <w:color w:val="auto"/>
        </w:rPr>
        <w:t xml:space="preserve">o </w:t>
      </w:r>
      <w:r>
        <w:rPr>
          <w:rFonts w:ascii="Times New Roman" w:cs="Times New Roman" w:eastAsia="Times New Roman" w:hAnsi="Times New Roman"/>
          <w:sz w:val="16"/>
          <w:szCs w:val="16"/>
          <w:color w:val="auto"/>
        </w:rPr>
        <w:t>Written communications pursuant to Rule 425 under the Securities Act (17 CFR 230.425)</w:t>
      </w:r>
    </w:p>
    <w:p>
      <w:pPr>
        <w:spacing w:after="0" w:line="235" w:lineRule="exact"/>
        <w:rPr>
          <w:sz w:val="24"/>
          <w:szCs w:val="24"/>
          <w:color w:val="auto"/>
        </w:rPr>
      </w:pPr>
    </w:p>
    <w:p>
      <w:pPr>
        <w:spacing w:after="0"/>
        <w:rPr>
          <w:sz w:val="20"/>
          <w:szCs w:val="20"/>
          <w:color w:val="auto"/>
        </w:rPr>
      </w:pPr>
      <w:r>
        <w:rPr>
          <w:rFonts w:ascii="Wingdings" w:cs="Wingdings" w:eastAsia="Wingdings" w:hAnsi="Wingdings"/>
          <w:sz w:val="16"/>
          <w:szCs w:val="16"/>
          <w:b w:val="1"/>
          <w:bCs w:val="1"/>
          <w:color w:val="auto"/>
        </w:rPr>
        <w:t xml:space="preserve">o </w:t>
      </w:r>
      <w:r>
        <w:rPr>
          <w:rFonts w:ascii="Times New Roman" w:cs="Times New Roman" w:eastAsia="Times New Roman" w:hAnsi="Times New Roman"/>
          <w:sz w:val="16"/>
          <w:szCs w:val="16"/>
          <w:color w:val="auto"/>
        </w:rPr>
        <w:t>Soliciting material pursuant to Rule 14a-12 under the Exchange Act (17 CFR 240.14a-12)</w:t>
      </w:r>
    </w:p>
    <w:p>
      <w:pPr>
        <w:spacing w:after="0" w:line="221" w:lineRule="exact"/>
        <w:rPr>
          <w:sz w:val="24"/>
          <w:szCs w:val="24"/>
          <w:color w:val="auto"/>
        </w:rPr>
      </w:pPr>
    </w:p>
    <w:p>
      <w:pPr>
        <w:spacing w:after="0"/>
        <w:rPr>
          <w:sz w:val="20"/>
          <w:szCs w:val="20"/>
          <w:color w:val="auto"/>
        </w:rPr>
      </w:pPr>
      <w:r>
        <w:rPr>
          <w:rFonts w:ascii="Wingdings" w:cs="Wingdings" w:eastAsia="Wingdings" w:hAnsi="Wingdings"/>
          <w:sz w:val="16"/>
          <w:szCs w:val="16"/>
          <w:b w:val="1"/>
          <w:bCs w:val="1"/>
          <w:color w:val="auto"/>
        </w:rPr>
        <w:t xml:space="preserve">o </w:t>
      </w: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235" w:lineRule="exact"/>
        <w:rPr>
          <w:sz w:val="24"/>
          <w:szCs w:val="24"/>
          <w:color w:val="auto"/>
        </w:rPr>
      </w:pPr>
    </w:p>
    <w:p>
      <w:pPr>
        <w:spacing w:after="0"/>
        <w:rPr>
          <w:sz w:val="20"/>
          <w:szCs w:val="20"/>
          <w:color w:val="auto"/>
        </w:rPr>
      </w:pPr>
      <w:r>
        <w:rPr>
          <w:rFonts w:ascii="Wingdings" w:cs="Wingdings" w:eastAsia="Wingdings" w:hAnsi="Wingdings"/>
          <w:sz w:val="16"/>
          <w:szCs w:val="16"/>
          <w:b w:val="1"/>
          <w:bCs w:val="1"/>
          <w:color w:val="auto"/>
        </w:rPr>
        <w:t xml:space="preserve">o </w:t>
      </w: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23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7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w:t>
            </w:r>
          </w:p>
        </w:tc>
        <w:tc>
          <w:tcPr>
            <w:tcW w:w="0" w:type="dxa"/>
            <w:vAlign w:val="bottom"/>
          </w:tcPr>
          <w:p>
            <w:pPr>
              <w:spacing w:after="0"/>
              <w:rPr>
                <w:sz w:val="1"/>
                <w:szCs w:val="1"/>
                <w:color w:val="auto"/>
              </w:rPr>
            </w:pPr>
          </w:p>
        </w:tc>
      </w:tr>
      <w:tr>
        <w:trPr>
          <w:trHeight w:val="195"/>
        </w:trPr>
        <w:tc>
          <w:tcPr>
            <w:tcW w:w="3760" w:type="dxa"/>
            <w:vAlign w:val="bottom"/>
            <w:gridSpan w:val="2"/>
            <w:vMerge w:val="continue"/>
          </w:tcPr>
          <w:p>
            <w:pPr>
              <w:spacing w:after="0"/>
              <w:rPr>
                <w:sz w:val="16"/>
                <w:szCs w:val="16"/>
                <w:color w:val="auto"/>
              </w:rPr>
            </w:pPr>
          </w:p>
        </w:tc>
        <w:tc>
          <w:tcPr>
            <w:tcW w:w="3760" w:type="dxa"/>
            <w:vAlign w:val="bottom"/>
            <w:gridSpan w:val="2"/>
            <w:vMerge w:val="continue"/>
          </w:tcPr>
          <w:p>
            <w:pPr>
              <w:spacing w:after="0"/>
              <w:rPr>
                <w:sz w:val="16"/>
                <w:szCs w:val="16"/>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registered:</w:t>
            </w:r>
          </w:p>
        </w:tc>
        <w:tc>
          <w:tcPr>
            <w:tcW w:w="0" w:type="dxa"/>
            <w:vAlign w:val="bottom"/>
          </w:tcPr>
          <w:p>
            <w:pPr>
              <w:spacing w:after="0"/>
              <w:rPr>
                <w:sz w:val="1"/>
                <w:szCs w:val="1"/>
                <w:color w:val="auto"/>
              </w:rPr>
            </w:pPr>
          </w:p>
        </w:tc>
      </w:tr>
      <w:tr>
        <w:trPr>
          <w:trHeight w:val="187"/>
        </w:trPr>
        <w:tc>
          <w:tcPr>
            <w:tcW w:w="3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 $0.001 par value per share</w:t>
            </w:r>
          </w:p>
        </w:tc>
        <w:tc>
          <w:tcPr>
            <w:tcW w:w="100" w:type="dxa"/>
            <w:vAlign w:val="bottom"/>
          </w:tcPr>
          <w:p>
            <w:pPr>
              <w:spacing w:after="0"/>
              <w:rPr>
                <w:sz w:val="16"/>
                <w:szCs w:val="16"/>
                <w:color w:val="auto"/>
              </w:rPr>
            </w:pPr>
          </w:p>
        </w:tc>
        <w:tc>
          <w:tcPr>
            <w:tcW w:w="3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QTRX</w:t>
            </w:r>
          </w:p>
        </w:tc>
        <w:tc>
          <w:tcPr>
            <w:tcW w:w="80" w:type="dxa"/>
            <w:vAlign w:val="bottom"/>
          </w:tcPr>
          <w:p>
            <w:pPr>
              <w:spacing w:after="0"/>
              <w:rPr>
                <w:sz w:val="16"/>
                <w:szCs w:val="16"/>
                <w:color w:val="auto"/>
              </w:rPr>
            </w:pPr>
          </w:p>
        </w:tc>
        <w:tc>
          <w:tcPr>
            <w:tcW w:w="3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The Nasdaq Global Market</w:t>
            </w:r>
          </w:p>
        </w:tc>
        <w:tc>
          <w:tcPr>
            <w:tcW w:w="0" w:type="dxa"/>
            <w:vAlign w:val="bottom"/>
          </w:tcPr>
          <w:p>
            <w:pPr>
              <w:spacing w:after="0"/>
              <w:rPr>
                <w:sz w:val="1"/>
                <w:szCs w:val="1"/>
                <w:color w:val="auto"/>
              </w:rPr>
            </w:pPr>
          </w:p>
        </w:tc>
      </w:tr>
    </w:tbl>
    <w:p>
      <w:pPr>
        <w:spacing w:after="0" w:line="297" w:lineRule="exact"/>
        <w:rPr>
          <w:sz w:val="24"/>
          <w:szCs w:val="24"/>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9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 xml:space="preserve">Emerging Growth Company </w:t>
      </w:r>
      <w:r>
        <w:rPr>
          <w:rFonts w:ascii="Wingdings" w:cs="Wingdings" w:eastAsia="Wingdings" w:hAnsi="Wingdings"/>
          <w:sz w:val="16"/>
          <w:szCs w:val="16"/>
          <w:b w:val="1"/>
          <w:bCs w:val="1"/>
          <w:color w:val="auto"/>
        </w:rPr>
        <w:t>o</w:t>
      </w:r>
    </w:p>
    <w:p>
      <w:pPr>
        <w:spacing w:after="0" w:line="221" w:lineRule="exact"/>
        <w:rPr>
          <w:sz w:val="24"/>
          <w:szCs w:val="24"/>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940435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138430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164465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Shareholder Director Nominations. Submission of Matters to a Vote of Security Holders.</w:t>
      </w:r>
    </w:p>
    <w:p>
      <w:pPr>
        <w:spacing w:after="0" w:line="229" w:lineRule="exact"/>
        <w:rPr>
          <w:sz w:val="20"/>
          <w:szCs w:val="20"/>
          <w:color w:val="auto"/>
        </w:rPr>
      </w:pPr>
    </w:p>
    <w:p>
      <w:pPr>
        <w:ind w:right="160" w:firstLine="648"/>
        <w:spacing w:after="0" w:line="253" w:lineRule="auto"/>
        <w:rPr>
          <w:sz w:val="20"/>
          <w:szCs w:val="20"/>
          <w:color w:val="auto"/>
        </w:rPr>
      </w:pPr>
      <w:r>
        <w:rPr>
          <w:rFonts w:ascii="Times New Roman" w:cs="Times New Roman" w:eastAsia="Times New Roman" w:hAnsi="Times New Roman"/>
          <w:sz w:val="18"/>
          <w:szCs w:val="18"/>
          <w:color w:val="auto"/>
        </w:rPr>
        <w:t>At the 2026 Annual Meeting of Stockholders of Quanterix Corporation (the “Company”) held on June 9, 2026 (the “Annual Meeting”), the stockholders of the Company voted on the following matters, which are described in detail in the Company’s Definitive Proxy Statement filed with the Securities and Exchange Commission (the “SEC”) on April 24, 2026 (File No. 001-38319) (the “Proxy Statement”), and as supplemented by Supplement No. 1 to the Proxy Statement filed with the SEC on May 8, 2026 (File No. 001-38319): (1) to elect William P. Donnelly and Ivana Magovčević-Liebisch, Ph.D., J.D. as independent directors to each serve for a one-year term expiring at the Company’s annual meeting of stockholders in 2027, and until their successors have been elected and qualified, or until their earlier death, resignation, retirement or removal (“Proposal 1”); (2) an advisory vote to approve the compensation of the Company’s named executive officers, as disclosed in the Proxy Statement (“Proposal 2”); (3) to ratify the appointment of KPMG LLP as the Company’s independent registered public accounting firm for the fiscal year ending December 31, 2026 (“Proposal 3”); and (4) to approve an amendment and restatement of the Company’s 2017 Employee, Director and Consultant Equity Incentive Plan (the “2017 Plan”) to implement certain equity compensation best practices and extend the term of the 2017 Plan through June 9, 2031 (“Proposal 4”). The stockholders approved Proposal 1, Proposal 2 and Proposal 3. The stockholders did not approve Proposal 4.</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tabulation of votes with respect to the proposals at the Annual Meeting was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Proposal 1</w:t>
            </w:r>
          </w:p>
        </w:tc>
        <w:tc>
          <w:tcPr>
            <w:tcW w:w="25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 Election of Directors:</w:t>
            </w:r>
          </w:p>
        </w:tc>
        <w:tc>
          <w:tcPr>
            <w:tcW w:w="16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800" w:type="dxa"/>
            <w:vAlign w:val="bottom"/>
            <w:tcBorders>
              <w:top w:val="single" w:sz="8" w:color="auto"/>
            </w:tcBorders>
          </w:tcPr>
          <w:p>
            <w:pPr>
              <w:spacing w:after="0"/>
              <w:rPr>
                <w:sz w:val="24"/>
                <w:szCs w:val="24"/>
                <w:color w:val="auto"/>
              </w:rPr>
            </w:pPr>
          </w:p>
        </w:tc>
        <w:tc>
          <w:tcPr>
            <w:tcW w:w="17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gridSpan w:val="4"/>
            <w:vMerge w:val="restart"/>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600" w:type="dxa"/>
            <w:vAlign w:val="bottom"/>
            <w:gridSpan w:val="4"/>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Withheld</w:t>
            </w:r>
          </w:p>
        </w:tc>
        <w:tc>
          <w:tcPr>
            <w:tcW w:w="220" w:type="dxa"/>
            <w:vAlign w:val="bottom"/>
          </w:tcPr>
          <w:p>
            <w:pPr>
              <w:spacing w:after="0"/>
              <w:rPr>
                <w:sz w:val="24"/>
                <w:szCs w:val="24"/>
                <w:color w:val="auto"/>
              </w:rPr>
            </w:pPr>
          </w:p>
        </w:tc>
        <w:tc>
          <w:tcPr>
            <w:tcW w:w="8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Broker Non-</w:t>
            </w:r>
          </w:p>
        </w:tc>
        <w:tc>
          <w:tcPr>
            <w:tcW w:w="0" w:type="dxa"/>
            <w:vAlign w:val="bottom"/>
          </w:tcPr>
          <w:p>
            <w:pPr>
              <w:spacing w:after="0"/>
              <w:rPr>
                <w:sz w:val="1"/>
                <w:szCs w:val="1"/>
                <w:color w:val="auto"/>
              </w:rPr>
            </w:pPr>
          </w:p>
        </w:tc>
      </w:tr>
      <w:tr>
        <w:trPr>
          <w:trHeight w:val="243"/>
        </w:trPr>
        <w:tc>
          <w:tcPr>
            <w:tcW w:w="80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gridSpan w:val="4"/>
            <w:vMerge w:val="continue"/>
          </w:tcPr>
          <w:p>
            <w:pPr>
              <w:spacing w:after="0"/>
              <w:rPr>
                <w:sz w:val="21"/>
                <w:szCs w:val="21"/>
                <w:color w:val="auto"/>
              </w:rPr>
            </w:pPr>
          </w:p>
        </w:tc>
        <w:tc>
          <w:tcPr>
            <w:tcW w:w="1600" w:type="dxa"/>
            <w:vAlign w:val="bottom"/>
            <w:gridSpan w:val="4"/>
            <w:vMerge w:val="continue"/>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gridSpan w:val="2"/>
            <w:vMerge w:val="continue"/>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2"/>
              </w:rPr>
              <w:t>Votes</w:t>
            </w:r>
          </w:p>
        </w:tc>
        <w:tc>
          <w:tcPr>
            <w:tcW w:w="0" w:type="dxa"/>
            <w:vAlign w:val="bottom"/>
          </w:tcPr>
          <w:p>
            <w:pPr>
              <w:spacing w:after="0"/>
              <w:rPr>
                <w:sz w:val="1"/>
                <w:szCs w:val="1"/>
                <w:color w:val="auto"/>
              </w:rPr>
            </w:pPr>
          </w:p>
        </w:tc>
      </w:tr>
      <w:tr>
        <w:trPr>
          <w:trHeight w:val="218"/>
        </w:trPr>
        <w:tc>
          <w:tcPr>
            <w:tcW w:w="334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William P. Donnelly</w:t>
            </w:r>
          </w:p>
        </w:tc>
        <w:tc>
          <w:tcPr>
            <w:tcW w:w="1600" w:type="dxa"/>
            <w:vAlign w:val="bottom"/>
          </w:tcPr>
          <w:p>
            <w:pPr>
              <w:spacing w:after="0"/>
              <w:rPr>
                <w:sz w:val="18"/>
                <w:szCs w:val="18"/>
                <w:color w:val="auto"/>
              </w:rPr>
            </w:pPr>
          </w:p>
        </w:tc>
        <w:tc>
          <w:tcPr>
            <w:tcW w:w="1360" w:type="dxa"/>
            <w:vAlign w:val="bottom"/>
            <w:tcBorders>
              <w:top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8"/>
              </w:rPr>
              <w:t>30,927,792</w:t>
            </w:r>
          </w:p>
        </w:tc>
        <w:tc>
          <w:tcPr>
            <w:tcW w:w="240" w:type="dxa"/>
            <w:vAlign w:val="bottom"/>
          </w:tcPr>
          <w:p>
            <w:pPr>
              <w:spacing w:after="0"/>
              <w:rPr>
                <w:sz w:val="18"/>
                <w:szCs w:val="18"/>
                <w:color w:val="auto"/>
              </w:rPr>
            </w:pPr>
          </w:p>
        </w:tc>
        <w:tc>
          <w:tcPr>
            <w:tcW w:w="1080" w:type="dxa"/>
            <w:vAlign w:val="bottom"/>
            <w:tcBorders>
              <w:top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2,757,653</w:t>
            </w:r>
          </w:p>
        </w:tc>
        <w:tc>
          <w:tcPr>
            <w:tcW w:w="2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Borders>
              <w:top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11,634</w:t>
            </w:r>
          </w:p>
        </w:tc>
        <w:tc>
          <w:tcPr>
            <w:tcW w:w="3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5,180,238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34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Ivana Magovčević-Liebisch, Ph.D., J.D.</w:t>
            </w:r>
          </w:p>
        </w:tc>
        <w:tc>
          <w:tcPr>
            <w:tcW w:w="2960" w:type="dxa"/>
            <w:vAlign w:val="bottom"/>
            <w:gridSpan w:val="5"/>
          </w:tcPr>
          <w:p>
            <w:pPr>
              <w:jc w:val="center"/>
              <w:ind w:left="1510"/>
              <w:spacing w:after="0"/>
              <w:rPr>
                <w:sz w:val="20"/>
                <w:szCs w:val="20"/>
                <w:color w:val="auto"/>
              </w:rPr>
            </w:pPr>
            <w:r>
              <w:rPr>
                <w:rFonts w:ascii="Times New Roman" w:cs="Times New Roman" w:eastAsia="Times New Roman" w:hAnsi="Times New Roman"/>
                <w:sz w:val="18"/>
                <w:szCs w:val="18"/>
                <w:color w:val="auto"/>
                <w:w w:val="98"/>
              </w:rPr>
              <w:t>30,314,520</w:t>
            </w:r>
          </w:p>
        </w:tc>
        <w:tc>
          <w:tcPr>
            <w:tcW w:w="240" w:type="dxa"/>
            <w:vAlign w:val="bottom"/>
          </w:tcPr>
          <w:p>
            <w:pPr>
              <w:spacing w:after="0"/>
              <w:rPr>
                <w:sz w:val="20"/>
                <w:szCs w:val="20"/>
                <w:color w:val="auto"/>
              </w:rPr>
            </w:pPr>
          </w:p>
        </w:tc>
        <w:tc>
          <w:tcPr>
            <w:tcW w:w="10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3,375,724</w:t>
            </w: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6,835</w:t>
            </w:r>
          </w:p>
        </w:tc>
        <w:tc>
          <w:tcPr>
            <w:tcW w:w="1900" w:type="dxa"/>
            <w:vAlign w:val="bottom"/>
            <w:gridSpan w:val="3"/>
          </w:tcPr>
          <w:p>
            <w:pPr>
              <w:jc w:val="center"/>
              <w:ind w:left="450"/>
              <w:spacing w:after="0"/>
              <w:rPr>
                <w:sz w:val="20"/>
                <w:szCs w:val="20"/>
                <w:color w:val="auto"/>
              </w:rPr>
            </w:pPr>
            <w:r>
              <w:rPr>
                <w:rFonts w:ascii="Times New Roman" w:cs="Times New Roman" w:eastAsia="Times New Roman" w:hAnsi="Times New Roman"/>
                <w:sz w:val="18"/>
                <w:szCs w:val="18"/>
                <w:color w:val="auto"/>
                <w:w w:val="99"/>
              </w:rPr>
              <w:t>5,180,238</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Proposal 2</w:t>
            </w:r>
          </w:p>
        </w:tc>
        <w:tc>
          <w:tcPr>
            <w:tcW w:w="7340" w:type="dxa"/>
            <w:vAlign w:val="bottom"/>
            <w:gridSpan w:val="14"/>
          </w:tcPr>
          <w:p>
            <w:pPr>
              <w:ind w:left="20"/>
              <w:spacing w:after="0"/>
              <w:rPr>
                <w:sz w:val="20"/>
                <w:szCs w:val="20"/>
                <w:color w:val="auto"/>
              </w:rPr>
            </w:pPr>
            <w:r>
              <w:rPr>
                <w:rFonts w:ascii="Times New Roman" w:cs="Times New Roman" w:eastAsia="Times New Roman" w:hAnsi="Times New Roman"/>
                <w:sz w:val="18"/>
                <w:szCs w:val="18"/>
                <w:color w:val="auto"/>
              </w:rPr>
              <w:t>— Advisory Vote to Approve the Compensation of the Company’s Named Executive Officers:</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800" w:type="dxa"/>
            <w:vAlign w:val="bottom"/>
            <w:tcBorders>
              <w:top w:val="single" w:sz="8" w:color="auto"/>
            </w:tcBorders>
          </w:tcPr>
          <w:p>
            <w:pPr>
              <w:spacing w:after="0"/>
              <w:rPr>
                <w:sz w:val="24"/>
                <w:szCs w:val="24"/>
                <w:color w:val="auto"/>
              </w:rPr>
            </w:pPr>
          </w:p>
        </w:tc>
        <w:tc>
          <w:tcPr>
            <w:tcW w:w="2540" w:type="dxa"/>
            <w:vAlign w:val="bottom"/>
            <w:tcBorders>
              <w:top w:val="single" w:sz="8" w:color="auto"/>
            </w:tcBorders>
            <w:gridSpan w:val="4"/>
          </w:tcPr>
          <w:p>
            <w:pPr>
              <w:ind w:left="360"/>
              <w:spacing w:after="0"/>
              <w:rPr>
                <w:sz w:val="20"/>
                <w:szCs w:val="20"/>
                <w:color w:val="auto"/>
              </w:rPr>
            </w:pPr>
            <w:r>
              <w:rPr>
                <w:rFonts w:ascii="Times New Roman" w:cs="Times New Roman" w:eastAsia="Times New Roman" w:hAnsi="Times New Roman"/>
                <w:sz w:val="18"/>
                <w:szCs w:val="18"/>
                <w:b w:val="1"/>
                <w:bCs w:val="1"/>
                <w:color w:val="auto"/>
              </w:rPr>
              <w:t>For</w:t>
            </w:r>
          </w:p>
        </w:tc>
        <w:tc>
          <w:tcPr>
            <w:tcW w:w="3200" w:type="dxa"/>
            <w:vAlign w:val="bottom"/>
            <w:tcBorders>
              <w:top w:val="single" w:sz="8" w:color="auto"/>
            </w:tcBorders>
            <w:gridSpan w:val="6"/>
          </w:tcPr>
          <w:p>
            <w:pPr>
              <w:ind w:left="54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08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520" w:type="dxa"/>
            <w:vAlign w:val="bottom"/>
            <w:gridSpan w:val="3"/>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6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Broker Non-Votes</w:t>
            </w:r>
          </w:p>
        </w:tc>
        <w:tc>
          <w:tcPr>
            <w:tcW w:w="0" w:type="dxa"/>
            <w:vAlign w:val="bottom"/>
          </w:tcPr>
          <w:p>
            <w:pPr>
              <w:spacing w:after="0"/>
              <w:rPr>
                <w:sz w:val="1"/>
                <w:szCs w:val="1"/>
                <w:color w:val="auto"/>
              </w:rPr>
            </w:pPr>
          </w:p>
        </w:tc>
      </w:tr>
      <w:tr>
        <w:trPr>
          <w:trHeight w:val="228"/>
        </w:trPr>
        <w:tc>
          <w:tcPr>
            <w:tcW w:w="800" w:type="dxa"/>
            <w:vAlign w:val="bottom"/>
            <w:tcBorders>
              <w:top w:val="single" w:sz="8" w:color="auto"/>
            </w:tcBorders>
          </w:tcPr>
          <w:p>
            <w:pPr>
              <w:spacing w:after="0"/>
              <w:rPr>
                <w:sz w:val="19"/>
                <w:szCs w:val="19"/>
                <w:color w:val="auto"/>
              </w:rPr>
            </w:pPr>
          </w:p>
        </w:tc>
        <w:tc>
          <w:tcPr>
            <w:tcW w:w="1780" w:type="dxa"/>
            <w:vAlign w:val="bottom"/>
            <w:tcBorders>
              <w:top w:val="single" w:sz="8" w:color="auto"/>
            </w:tcBorders>
          </w:tcPr>
          <w:p>
            <w:pPr>
              <w:jc w:val="center"/>
              <w:ind w:right="710"/>
              <w:spacing w:after="0"/>
              <w:rPr>
                <w:sz w:val="20"/>
                <w:szCs w:val="20"/>
                <w:color w:val="auto"/>
              </w:rPr>
            </w:pPr>
            <w:r>
              <w:rPr>
                <w:rFonts w:ascii="Times New Roman" w:cs="Times New Roman" w:eastAsia="Times New Roman" w:hAnsi="Times New Roman"/>
                <w:sz w:val="18"/>
                <w:szCs w:val="18"/>
                <w:color w:val="auto"/>
              </w:rPr>
              <w:t>27,679,636</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3,881,516</w:t>
            </w:r>
          </w:p>
        </w:tc>
        <w:tc>
          <w:tcPr>
            <w:tcW w:w="5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2,135,927</w:t>
            </w:r>
          </w:p>
        </w:tc>
        <w:tc>
          <w:tcPr>
            <w:tcW w:w="28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900" w:type="dxa"/>
            <w:vAlign w:val="bottom"/>
            <w:tcBorders>
              <w:top w:val="single" w:sz="8" w:color="auto"/>
            </w:tcBorders>
            <w:gridSpan w:val="3"/>
          </w:tcPr>
          <w:p>
            <w:pPr>
              <w:jc w:val="center"/>
              <w:ind w:right="290"/>
              <w:spacing w:after="0"/>
              <w:rPr>
                <w:sz w:val="20"/>
                <w:szCs w:val="20"/>
                <w:color w:val="auto"/>
              </w:rPr>
            </w:pPr>
            <w:r>
              <w:rPr>
                <w:rFonts w:ascii="Times New Roman" w:cs="Times New Roman" w:eastAsia="Times New Roman" w:hAnsi="Times New Roman"/>
                <w:sz w:val="18"/>
                <w:szCs w:val="18"/>
                <w:color w:val="auto"/>
                <w:w w:val="99"/>
              </w:rPr>
              <w:t>5,180,238</w:t>
            </w:r>
          </w:p>
        </w:tc>
        <w:tc>
          <w:tcPr>
            <w:tcW w:w="1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6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Proposal 3</w:t>
            </w:r>
          </w:p>
        </w:tc>
        <w:tc>
          <w:tcPr>
            <w:tcW w:w="7340" w:type="dxa"/>
            <w:vAlign w:val="bottom"/>
            <w:gridSpan w:val="14"/>
          </w:tcPr>
          <w:p>
            <w:pPr>
              <w:ind w:left="20"/>
              <w:spacing w:after="0"/>
              <w:rPr>
                <w:sz w:val="20"/>
                <w:szCs w:val="20"/>
                <w:color w:val="auto"/>
              </w:rPr>
            </w:pPr>
            <w:r>
              <w:rPr>
                <w:rFonts w:ascii="Times New Roman" w:cs="Times New Roman" w:eastAsia="Times New Roman" w:hAnsi="Times New Roman"/>
                <w:sz w:val="18"/>
                <w:szCs w:val="18"/>
                <w:color w:val="auto"/>
              </w:rPr>
              <w:t>— Ratification of KPMG, LLP as the Company’s Independent Registered Public Accounting Firm:</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800" w:type="dxa"/>
            <w:vAlign w:val="bottom"/>
            <w:tcBorders>
              <w:top w:val="single" w:sz="8" w:color="auto"/>
            </w:tcBorders>
          </w:tcPr>
          <w:p>
            <w:pPr>
              <w:spacing w:after="0"/>
              <w:rPr>
                <w:sz w:val="24"/>
                <w:szCs w:val="24"/>
                <w:color w:val="auto"/>
              </w:rPr>
            </w:pPr>
          </w:p>
        </w:tc>
        <w:tc>
          <w:tcPr>
            <w:tcW w:w="2540" w:type="dxa"/>
            <w:vAlign w:val="bottom"/>
            <w:tcBorders>
              <w:top w:val="single" w:sz="8" w:color="auto"/>
            </w:tcBorders>
            <w:gridSpan w:val="4"/>
          </w:tcPr>
          <w:p>
            <w:pPr>
              <w:ind w:left="360"/>
              <w:spacing w:after="0"/>
              <w:rPr>
                <w:sz w:val="20"/>
                <w:szCs w:val="20"/>
                <w:color w:val="auto"/>
              </w:rPr>
            </w:pPr>
            <w:r>
              <w:rPr>
                <w:rFonts w:ascii="Times New Roman" w:cs="Times New Roman" w:eastAsia="Times New Roman" w:hAnsi="Times New Roman"/>
                <w:sz w:val="18"/>
                <w:szCs w:val="18"/>
                <w:b w:val="1"/>
                <w:bCs w:val="1"/>
                <w:color w:val="auto"/>
              </w:rPr>
              <w:t>For</w:t>
            </w:r>
          </w:p>
        </w:tc>
        <w:tc>
          <w:tcPr>
            <w:tcW w:w="3200" w:type="dxa"/>
            <w:vAlign w:val="bottom"/>
            <w:tcBorders>
              <w:top w:val="single" w:sz="8" w:color="auto"/>
            </w:tcBorders>
            <w:gridSpan w:val="6"/>
          </w:tcPr>
          <w:p>
            <w:pPr>
              <w:ind w:left="54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420" w:type="dxa"/>
            <w:vAlign w:val="bottom"/>
            <w:tcBorders>
              <w:top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6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Broker Non-Votes</w:t>
            </w:r>
          </w:p>
        </w:tc>
        <w:tc>
          <w:tcPr>
            <w:tcW w:w="0" w:type="dxa"/>
            <w:vAlign w:val="bottom"/>
          </w:tcPr>
          <w:p>
            <w:pPr>
              <w:spacing w:after="0"/>
              <w:rPr>
                <w:sz w:val="1"/>
                <w:szCs w:val="1"/>
                <w:color w:val="auto"/>
              </w:rPr>
            </w:pPr>
          </w:p>
        </w:tc>
      </w:tr>
      <w:tr>
        <w:trPr>
          <w:trHeight w:val="228"/>
        </w:trPr>
        <w:tc>
          <w:tcPr>
            <w:tcW w:w="800" w:type="dxa"/>
            <w:vAlign w:val="bottom"/>
            <w:tcBorders>
              <w:top w:val="single" w:sz="8" w:color="auto"/>
            </w:tcBorders>
          </w:tcPr>
          <w:p>
            <w:pPr>
              <w:spacing w:after="0"/>
              <w:rPr>
                <w:sz w:val="19"/>
                <w:szCs w:val="19"/>
                <w:color w:val="auto"/>
              </w:rPr>
            </w:pPr>
          </w:p>
        </w:tc>
        <w:tc>
          <w:tcPr>
            <w:tcW w:w="1780" w:type="dxa"/>
            <w:vAlign w:val="bottom"/>
            <w:tcBorders>
              <w:top w:val="single" w:sz="8" w:color="auto"/>
            </w:tcBorders>
          </w:tcPr>
          <w:p>
            <w:pPr>
              <w:jc w:val="center"/>
              <w:ind w:right="710"/>
              <w:spacing w:after="0"/>
              <w:rPr>
                <w:sz w:val="20"/>
                <w:szCs w:val="20"/>
                <w:color w:val="auto"/>
              </w:rPr>
            </w:pPr>
            <w:r>
              <w:rPr>
                <w:rFonts w:ascii="Times New Roman" w:cs="Times New Roman" w:eastAsia="Times New Roman" w:hAnsi="Times New Roman"/>
                <w:sz w:val="18"/>
                <w:szCs w:val="18"/>
                <w:color w:val="auto"/>
              </w:rPr>
              <w:t>38,728,204</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137,595</w:t>
            </w:r>
          </w:p>
        </w:tc>
        <w:tc>
          <w:tcPr>
            <w:tcW w:w="5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11,518</w:t>
            </w:r>
          </w:p>
        </w:tc>
        <w:tc>
          <w:tcPr>
            <w:tcW w:w="28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900" w:type="dxa"/>
            <w:vAlign w:val="bottom"/>
            <w:tcBorders>
              <w:top w:val="single" w:sz="8" w:color="auto"/>
            </w:tcBorders>
            <w:gridSpan w:val="3"/>
          </w:tcPr>
          <w:p>
            <w:pPr>
              <w:jc w:val="center"/>
              <w:ind w:right="290"/>
              <w:spacing w:after="0"/>
              <w:rPr>
                <w:sz w:val="20"/>
                <w:szCs w:val="20"/>
                <w:color w:val="auto"/>
              </w:rPr>
            </w:pPr>
            <w:r>
              <w:rPr>
                <w:rFonts w:ascii="Times New Roman" w:cs="Times New Roman" w:eastAsia="Times New Roman" w:hAnsi="Times New Roman"/>
                <w:sz w:val="18"/>
                <w:szCs w:val="18"/>
                <w:color w:val="auto"/>
                <w:w w:val="88"/>
              </w:rPr>
              <w:t>0</w:t>
            </w:r>
          </w:p>
        </w:tc>
        <w:tc>
          <w:tcPr>
            <w:tcW w:w="1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81"/>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Proposal 4</w:t>
            </w:r>
          </w:p>
        </w:tc>
        <w:tc>
          <w:tcPr>
            <w:tcW w:w="5740" w:type="dxa"/>
            <w:vAlign w:val="bottom"/>
            <w:gridSpan w:val="10"/>
          </w:tcPr>
          <w:p>
            <w:pPr>
              <w:ind w:left="20"/>
              <w:spacing w:after="0"/>
              <w:rPr>
                <w:sz w:val="20"/>
                <w:szCs w:val="20"/>
                <w:color w:val="auto"/>
              </w:rPr>
            </w:pPr>
            <w:r>
              <w:rPr>
                <w:rFonts w:ascii="Times New Roman" w:cs="Times New Roman" w:eastAsia="Times New Roman" w:hAnsi="Times New Roman"/>
                <w:sz w:val="18"/>
                <w:szCs w:val="18"/>
                <w:color w:val="auto"/>
              </w:rPr>
              <w:t>— Approval of an Amendment and Restatement of the 2017 Plan:</w:t>
            </w: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800" w:type="dxa"/>
            <w:vAlign w:val="bottom"/>
            <w:tcBorders>
              <w:top w:val="single" w:sz="8" w:color="auto"/>
            </w:tcBorders>
          </w:tcPr>
          <w:p>
            <w:pPr>
              <w:spacing w:after="0"/>
              <w:rPr>
                <w:sz w:val="24"/>
                <w:szCs w:val="24"/>
                <w:color w:val="auto"/>
              </w:rPr>
            </w:pPr>
          </w:p>
        </w:tc>
        <w:tc>
          <w:tcPr>
            <w:tcW w:w="2540" w:type="dxa"/>
            <w:vAlign w:val="bottom"/>
            <w:tcBorders>
              <w:top w:val="single" w:sz="8" w:color="auto"/>
            </w:tcBorders>
            <w:gridSpan w:val="4"/>
          </w:tcPr>
          <w:p>
            <w:pPr>
              <w:ind w:left="360"/>
              <w:spacing w:after="0"/>
              <w:rPr>
                <w:sz w:val="20"/>
                <w:szCs w:val="20"/>
                <w:color w:val="auto"/>
              </w:rPr>
            </w:pPr>
            <w:r>
              <w:rPr>
                <w:rFonts w:ascii="Times New Roman" w:cs="Times New Roman" w:eastAsia="Times New Roman" w:hAnsi="Times New Roman"/>
                <w:sz w:val="18"/>
                <w:szCs w:val="18"/>
                <w:b w:val="1"/>
                <w:bCs w:val="1"/>
                <w:color w:val="auto"/>
              </w:rPr>
              <w:t>For</w:t>
            </w:r>
          </w:p>
        </w:tc>
        <w:tc>
          <w:tcPr>
            <w:tcW w:w="2240" w:type="dxa"/>
            <w:vAlign w:val="bottom"/>
            <w:tcBorders>
              <w:top w:val="single" w:sz="8" w:color="auto"/>
            </w:tcBorders>
            <w:gridSpan w:val="3"/>
          </w:tcPr>
          <w:p>
            <w:pPr>
              <w:ind w:left="54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960" w:type="dxa"/>
            <w:vAlign w:val="bottom"/>
            <w:gridSpan w:val="3"/>
          </w:tcPr>
          <w:p>
            <w:pPr>
              <w:spacing w:after="0"/>
              <w:rPr>
                <w:sz w:val="24"/>
                <w:szCs w:val="24"/>
                <w:color w:val="auto"/>
              </w:rPr>
            </w:pPr>
          </w:p>
        </w:tc>
        <w:tc>
          <w:tcPr>
            <w:tcW w:w="1600" w:type="dxa"/>
            <w:vAlign w:val="bottom"/>
            <w:gridSpan w:val="4"/>
          </w:tcPr>
          <w:p>
            <w:pPr>
              <w:ind w:left="22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6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Broker Non-Votes</w:t>
            </w:r>
          </w:p>
        </w:tc>
        <w:tc>
          <w:tcPr>
            <w:tcW w:w="0" w:type="dxa"/>
            <w:vAlign w:val="bottom"/>
          </w:tcPr>
          <w:p>
            <w:pPr>
              <w:spacing w:after="0"/>
              <w:rPr>
                <w:sz w:val="1"/>
                <w:szCs w:val="1"/>
                <w:color w:val="auto"/>
              </w:rPr>
            </w:pPr>
          </w:p>
        </w:tc>
      </w:tr>
      <w:tr>
        <w:trPr>
          <w:trHeight w:val="228"/>
        </w:trPr>
        <w:tc>
          <w:tcPr>
            <w:tcW w:w="800" w:type="dxa"/>
            <w:vAlign w:val="bottom"/>
            <w:tcBorders>
              <w:top w:val="single" w:sz="8" w:color="auto"/>
            </w:tcBorders>
          </w:tcPr>
          <w:p>
            <w:pPr>
              <w:spacing w:after="0"/>
              <w:rPr>
                <w:sz w:val="19"/>
                <w:szCs w:val="19"/>
                <w:color w:val="auto"/>
              </w:rPr>
            </w:pPr>
          </w:p>
        </w:tc>
        <w:tc>
          <w:tcPr>
            <w:tcW w:w="1780" w:type="dxa"/>
            <w:vAlign w:val="bottom"/>
            <w:tcBorders>
              <w:top w:val="single" w:sz="8" w:color="auto"/>
            </w:tcBorders>
          </w:tcPr>
          <w:p>
            <w:pPr>
              <w:jc w:val="center"/>
              <w:ind w:right="690"/>
              <w:spacing w:after="0"/>
              <w:rPr>
                <w:sz w:val="20"/>
                <w:szCs w:val="20"/>
                <w:color w:val="auto"/>
              </w:rPr>
            </w:pPr>
            <w:r>
              <w:rPr>
                <w:rFonts w:ascii="Times New Roman" w:cs="Times New Roman" w:eastAsia="Times New Roman" w:hAnsi="Times New Roman"/>
                <w:sz w:val="18"/>
                <w:szCs w:val="18"/>
                <w:color w:val="auto"/>
                <w:w w:val="99"/>
              </w:rPr>
              <w:t>9,677,232</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24,004,124</w:t>
            </w:r>
          </w:p>
        </w:tc>
        <w:tc>
          <w:tcPr>
            <w:tcW w:w="5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15,723</w:t>
            </w:r>
          </w:p>
        </w:tc>
        <w:tc>
          <w:tcPr>
            <w:tcW w:w="28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900" w:type="dxa"/>
            <w:vAlign w:val="bottom"/>
            <w:tcBorders>
              <w:top w:val="single" w:sz="8" w:color="auto"/>
            </w:tcBorders>
            <w:gridSpan w:val="3"/>
          </w:tcPr>
          <w:p>
            <w:pPr>
              <w:jc w:val="center"/>
              <w:ind w:right="290"/>
              <w:spacing w:after="0"/>
              <w:rPr>
                <w:sz w:val="20"/>
                <w:szCs w:val="20"/>
                <w:color w:val="auto"/>
              </w:rPr>
            </w:pPr>
            <w:r>
              <w:rPr>
                <w:rFonts w:ascii="Times New Roman" w:cs="Times New Roman" w:eastAsia="Times New Roman" w:hAnsi="Times New Roman"/>
                <w:sz w:val="18"/>
                <w:szCs w:val="18"/>
                <w:color w:val="auto"/>
                <w:w w:val="99"/>
              </w:rPr>
              <w:t>5,180,238</w:t>
            </w:r>
          </w:p>
        </w:tc>
        <w:tc>
          <w:tcPr>
            <w:tcW w:w="1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123"/>
        </w:trPr>
        <w:tc>
          <w:tcPr>
            <w:tcW w:w="80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2" w:name="page3"/>
    <w:bookmarkEnd w:id="2"/>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QUANTERIX CORPORATION</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June 10, 2026</w:t>
      </w:r>
    </w:p>
    <w:p>
      <w:pPr>
        <w:spacing w:after="0" w:line="188" w:lineRule="exact"/>
        <w:rPr>
          <w:sz w:val="20"/>
          <w:szCs w:val="20"/>
          <w:color w:val="auto"/>
        </w:rPr>
      </w:pPr>
    </w:p>
    <w:p>
      <w:pPr>
        <w:ind w:left="5240"/>
        <w:spacing w:after="0"/>
        <w:tabs>
          <w:tab w:leader="none" w:pos="6100" w:val="left"/>
        </w:tabs>
        <w:rPr>
          <w:sz w:val="20"/>
          <w:szCs w:val="20"/>
          <w:color w:val="auto"/>
        </w:rPr>
      </w:pPr>
      <w:r>
        <w:rPr>
          <w:rFonts w:ascii="Times New Roman" w:cs="Times New Roman" w:eastAsia="Times New Roman" w:hAnsi="Times New Roman"/>
          <w:sz w:val="18"/>
          <w:szCs w:val="18"/>
          <w:b w:val="1"/>
          <w:bCs w:val="1"/>
          <w:color w:val="auto"/>
        </w:rPr>
        <w:t>By:</w:t>
      </w:r>
      <w:r>
        <w:rPr>
          <w:sz w:val="20"/>
          <w:szCs w:val="20"/>
          <w:color w:val="auto"/>
        </w:rPr>
        <w:tab/>
      </w:r>
      <w:r>
        <w:rPr>
          <w:rFonts w:ascii="Times New Roman" w:cs="Times New Roman" w:eastAsia="Times New Roman" w:hAnsi="Times New Roman"/>
          <w:sz w:val="18"/>
          <w:szCs w:val="18"/>
          <w:color w:val="auto"/>
        </w:rPr>
        <w:t>/s/ Daniel S. Char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28575</wp:posOffset>
            </wp:positionV>
            <wp:extent cx="32575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47" w:lineRule="exact"/>
        <w:rPr>
          <w:sz w:val="20"/>
          <w:szCs w:val="20"/>
          <w:color w:val="auto"/>
        </w:rPr>
      </w:pPr>
    </w:p>
    <w:p>
      <w:pPr>
        <w:ind w:left="5240"/>
        <w:spacing w:after="0"/>
        <w:tabs>
          <w:tab w:leader="none" w:pos="6100" w:val="left"/>
        </w:tabs>
        <w:rPr>
          <w:sz w:val="20"/>
          <w:szCs w:val="20"/>
          <w:color w:val="auto"/>
        </w:rPr>
      </w:pPr>
      <w:r>
        <w:rPr>
          <w:rFonts w:ascii="Times New Roman" w:cs="Times New Roman" w:eastAsia="Times New Roman" w:hAnsi="Times New Roman"/>
          <w:sz w:val="18"/>
          <w:szCs w:val="18"/>
          <w:b w:val="1"/>
          <w:bCs w:val="1"/>
          <w:color w:val="auto"/>
        </w:rPr>
        <w:t>Name:</w:t>
      </w:r>
      <w:r>
        <w:rPr>
          <w:sz w:val="20"/>
          <w:szCs w:val="20"/>
          <w:color w:val="auto"/>
        </w:rPr>
        <w:tab/>
      </w:r>
      <w:r>
        <w:rPr>
          <w:rFonts w:ascii="Times New Roman" w:cs="Times New Roman" w:eastAsia="Times New Roman" w:hAnsi="Times New Roman"/>
          <w:sz w:val="18"/>
          <w:szCs w:val="18"/>
          <w:color w:val="auto"/>
        </w:rPr>
        <w:t>Daniel S. Char</w:t>
      </w:r>
    </w:p>
    <w:p>
      <w:pPr>
        <w:spacing w:after="0" w:line="50" w:lineRule="exact"/>
        <w:rPr>
          <w:sz w:val="20"/>
          <w:szCs w:val="20"/>
          <w:color w:val="auto"/>
        </w:rPr>
      </w:pPr>
    </w:p>
    <w:p>
      <w:pPr>
        <w:ind w:left="5240"/>
        <w:spacing w:after="0"/>
        <w:tabs>
          <w:tab w:leader="none" w:pos="6100" w:val="left"/>
        </w:tabs>
        <w:rPr>
          <w:sz w:val="20"/>
          <w:szCs w:val="20"/>
          <w:color w:val="auto"/>
        </w:rPr>
      </w:pPr>
      <w:r>
        <w:rPr>
          <w:rFonts w:ascii="Times New Roman" w:cs="Times New Roman" w:eastAsia="Times New Roman" w:hAnsi="Times New Roman"/>
          <w:sz w:val="18"/>
          <w:szCs w:val="18"/>
          <w:b w:val="1"/>
          <w:bCs w:val="1"/>
          <w:color w:val="auto"/>
        </w:rPr>
        <w:t>Title:</w:t>
      </w:r>
      <w:r>
        <w:rPr>
          <w:sz w:val="20"/>
          <w:szCs w:val="20"/>
          <w:color w:val="auto"/>
        </w:rPr>
        <w:tab/>
      </w:r>
      <w:r>
        <w:rPr>
          <w:rFonts w:ascii="Times New Roman" w:cs="Times New Roman" w:eastAsia="Times New Roman" w:hAnsi="Times New Roman"/>
          <w:sz w:val="18"/>
          <w:szCs w:val="18"/>
          <w:color w:val="auto"/>
        </w:rPr>
        <w:t>Chief Legal Officer and Corporate Secretary</w:t>
      </w:r>
    </w:p>
    <w:sectPr>
      <w:pgSz w:w="11900" w:h="16838" w:orient="portrait"/>
      <w:cols w:equalWidth="0" w:num="1">
        <w:col w:w="10980"/>
      </w:cols>
      <w:pgMar w:left="320" w:top="1143"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2026-06-10T15:23:26Z</dcterms:created>
  <dcterms:modified xsi:type="dcterms:W3CDTF">2026-06-10T15:23:26Z</dcterms:modified>
</cp:coreProperties>
</file>