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6992620" cy="512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122545"/>
                    </a:xfrm>
                    <a:prstGeom prst="rect">
                      <a:avLst/>
                    </a:prstGeom>
                    <a:noFill/>
                  </pic:spPr>
                </pic:pic>
              </a:graphicData>
            </a:graphic>
          </wp:anchor>
        </w:drawing>
      </w:r>
    </w:p>
    <w:p>
      <w:pPr>
        <w:spacing w:after="0" w:line="1260" w:lineRule="exact"/>
        <w:rPr>
          <w:sz w:val="24"/>
          <w:szCs w:val="24"/>
          <w:color w:val="auto"/>
        </w:rPr>
      </w:pPr>
    </w:p>
    <w:p>
      <w:pPr>
        <w:sectPr>
          <w:pgSz w:w="11900" w:h="16838" w:orient="portrait"/>
          <w:cols w:equalWidth="0" w:num="2">
            <w:col w:w="2320" w:space="220"/>
            <w:col w:w="854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Miller Michael Francis</w:t>
        </w:r>
      </w:hyperlink>
    </w:p>
    <w:p>
      <w:pPr>
        <w:spacing w:after="0" w:line="296"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right="540"/>
        <w:spacing w:after="0" w:line="331" w:lineRule="auto"/>
        <w:rPr>
          <w:sz w:val="20"/>
          <w:szCs w:val="20"/>
          <w:color w:val="auto"/>
        </w:rPr>
      </w:pPr>
      <w:r>
        <w:rPr>
          <w:rFonts w:ascii="Times New Roman" w:cs="Times New Roman" w:eastAsia="Times New Roman" w:hAnsi="Times New Roman"/>
          <w:sz w:val="16"/>
          <w:szCs w:val="16"/>
          <w:color w:val="0000FF"/>
        </w:rPr>
        <w:t>C/O QUANTERIX CORPORATION 900 MIDDLESEX TURNPIKE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Quanterix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QTRX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05/31/2026</w:t>
      </w:r>
    </w:p>
    <w:p>
      <w:pPr>
        <w:spacing w:after="0" w:line="20" w:lineRule="exact"/>
        <w:rPr>
          <w:sz w:val="24"/>
          <w:szCs w:val="24"/>
          <w:color w:val="auto"/>
        </w:rPr>
      </w:pPr>
      <w:r>
        <w:rPr>
          <w:sz w:val="24"/>
          <w:szCs w:val="24"/>
          <w:color w:val="auto"/>
        </w:rPr>
        <w:br w:type="column"/>
      </w:r>
    </w:p>
    <w:p>
      <w:pPr>
        <w:ind w:left="-4" w:right="600" w:firstLine="4"/>
        <w:spacing w:after="0" w:line="261"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6" w:lineRule="exact"/>
        <w:rPr>
          <w:sz w:val="24"/>
          <w:szCs w:val="24"/>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696"/>
        <w:spacing w:after="0"/>
        <w:rPr>
          <w:sz w:val="20"/>
          <w:szCs w:val="20"/>
          <w:color w:val="auto"/>
        </w:rPr>
      </w:pPr>
      <w:r>
        <w:rPr>
          <w:rFonts w:ascii="Times New Roman" w:cs="Times New Roman" w:eastAsia="Times New Roman" w:hAnsi="Times New Roman"/>
          <w:sz w:val="17"/>
          <w:szCs w:val="17"/>
          <w:color w:val="0000FF"/>
        </w:rPr>
        <w:t>Chief Technology Officer</w:t>
      </w:r>
    </w:p>
    <w:p>
      <w:pPr>
        <w:spacing w:after="0" w:line="443" w:lineRule="exact"/>
        <w:rPr>
          <w:sz w:val="24"/>
          <w:szCs w:val="24"/>
          <w:color w:val="auto"/>
        </w:rPr>
      </w:pPr>
    </w:p>
    <w:p>
      <w:pPr>
        <w:sectPr>
          <w:pgSz w:w="11900" w:h="16838" w:orient="portrait"/>
          <w:cols w:equalWidth="0" w:num="3">
            <w:col w:w="3200" w:space="720"/>
            <w:col w:w="3104" w:space="720"/>
            <w:col w:w="3336"/>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660" w:type="dxa"/>
            <w:vAlign w:val="bottom"/>
            <w:gridSpan w:val="8"/>
          </w:tcPr>
          <w:p>
            <w:pPr>
              <w:ind w:left="160"/>
              <w:spacing w:after="0" w:line="111" w:lineRule="exact"/>
              <w:rPr>
                <w:sz w:val="20"/>
                <w:szCs w:val="20"/>
                <w:color w:val="auto"/>
              </w:rPr>
            </w:pPr>
            <w:r>
              <w:rPr>
                <w:rFonts w:ascii="Arial" w:cs="Arial" w:eastAsia="Arial" w:hAnsi="Arial"/>
                <w:sz w:val="12"/>
                <w:szCs w:val="12"/>
                <w:color w:val="auto"/>
              </w:rPr>
              <w:t>4. If Amendment, Date of Original Filed (Month/Day/Year)</w:t>
            </w:r>
          </w:p>
        </w:tc>
        <w:tc>
          <w:tcPr>
            <w:tcW w:w="3660" w:type="dxa"/>
            <w:vAlign w:val="bottom"/>
            <w:gridSpan w:val="10"/>
          </w:tcPr>
          <w:p>
            <w:pPr>
              <w:ind w:left="320"/>
              <w:spacing w:after="0" w:line="111"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80" w:type="dxa"/>
            <w:vAlign w:val="bottom"/>
            <w:gridSpan w:val="4"/>
          </w:tcPr>
          <w:p>
            <w:pPr>
              <w:ind w:left="32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BILLERICA</w:t>
            </w: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MA</w:t>
            </w:r>
          </w:p>
        </w:tc>
        <w:tc>
          <w:tcPr>
            <w:tcW w:w="11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01821</w:t>
            </w: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6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vMerge w:val="restart"/>
          </w:tcPr>
          <w:p>
            <w:pPr>
              <w:spacing w:after="0"/>
              <w:rPr>
                <w:sz w:val="6"/>
                <w:szCs w:val="6"/>
                <w:color w:val="auto"/>
              </w:rPr>
            </w:pPr>
          </w:p>
        </w:tc>
        <w:tc>
          <w:tcPr>
            <w:tcW w:w="580" w:type="dxa"/>
            <w:vAlign w:val="bottom"/>
            <w:vMerge w:val="restart"/>
          </w:tcPr>
          <w:p>
            <w:pPr>
              <w:ind w:left="160"/>
              <w:spacing w:after="0"/>
              <w:rPr>
                <w:sz w:val="20"/>
                <w:szCs w:val="20"/>
                <w:color w:val="auto"/>
              </w:rPr>
            </w:pPr>
            <w:r>
              <w:rPr>
                <w:rFonts w:ascii="Arial" w:cs="Arial" w:eastAsia="Arial" w:hAnsi="Arial"/>
                <w:sz w:val="13"/>
                <w:szCs w:val="13"/>
                <w:color w:val="auto"/>
                <w:w w:val="97"/>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20" w:type="dxa"/>
            <w:vAlign w:val="bottom"/>
            <w:gridSpan w:val="2"/>
            <w:vMerge w:val="restart"/>
          </w:tcPr>
          <w:p>
            <w:pPr>
              <w:ind w:left="40"/>
              <w:spacing w:after="0"/>
              <w:rPr>
                <w:sz w:val="20"/>
                <w:szCs w:val="20"/>
                <w:color w:val="auto"/>
              </w:rPr>
            </w:pPr>
            <w:r>
              <w:rPr>
                <w:rFonts w:ascii="Arial" w:cs="Arial" w:eastAsia="Arial" w:hAnsi="Arial"/>
                <w:sz w:val="13"/>
                <w:szCs w:val="13"/>
                <w:color w:val="auto"/>
              </w:rPr>
              <w:t>(Zip)</w:t>
            </w: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2"/>
          </w:tcPr>
          <w:p>
            <w:pPr>
              <w:spacing w:after="0"/>
              <w:rPr>
                <w:sz w:val="10"/>
                <w:szCs w:val="10"/>
                <w:color w:val="auto"/>
              </w:rPr>
            </w:pPr>
          </w:p>
        </w:tc>
        <w:tc>
          <w:tcPr>
            <w:tcW w:w="1720" w:type="dxa"/>
            <w:vAlign w:val="bottom"/>
            <w:tcBorders>
              <w:bottom w:val="single" w:sz="8" w:color="2C2C2C"/>
            </w:tcBorders>
            <w:gridSpan w:val="5"/>
          </w:tcPr>
          <w:p>
            <w:pPr>
              <w:spacing w:after="0"/>
              <w:rPr>
                <w:sz w:val="10"/>
                <w:szCs w:val="10"/>
                <w:color w:val="auto"/>
              </w:rPr>
            </w:pPr>
          </w:p>
        </w:tc>
        <w:tc>
          <w:tcPr>
            <w:tcW w:w="2520" w:type="dxa"/>
            <w:vAlign w:val="bottom"/>
            <w:tcBorders>
              <w:bottom w:val="single" w:sz="8" w:color="2C2C2C"/>
            </w:tcBorders>
            <w:gridSpan w:val="5"/>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5"/>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4"/>
                <w:szCs w:val="14"/>
                <w:color w:val="auto"/>
              </w:rPr>
            </w:pPr>
          </w:p>
        </w:tc>
        <w:tc>
          <w:tcPr>
            <w:tcW w:w="17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20" w:type="dxa"/>
            <w:vAlign w:val="bottom"/>
            <w:gridSpan w:val="2"/>
          </w:tcPr>
          <w:p>
            <w:pPr>
              <w:ind w:left="740"/>
              <w:spacing w:after="0" w:line="130" w:lineRule="exact"/>
              <w:rPr>
                <w:sz w:val="20"/>
                <w:szCs w:val="20"/>
                <w:color w:val="auto"/>
              </w:rPr>
            </w:pPr>
            <w:r>
              <w:rPr>
                <w:rFonts w:ascii="Arial" w:cs="Arial" w:eastAsia="Arial" w:hAnsi="Arial"/>
                <w:sz w:val="12"/>
                <w:szCs w:val="12"/>
                <w:b w:val="1"/>
                <w:bCs w:val="1"/>
                <w:color w:val="auto"/>
              </w:rPr>
              <w:t>Date</w:t>
            </w:r>
          </w:p>
        </w:tc>
        <w:tc>
          <w:tcPr>
            <w:tcW w:w="560" w:type="dxa"/>
            <w:vAlign w:val="bottom"/>
          </w:tcPr>
          <w:p>
            <w:pPr>
              <w:spacing w:after="0"/>
              <w:rPr>
                <w:sz w:val="11"/>
                <w:szCs w:val="11"/>
                <w:color w:val="auto"/>
              </w:rPr>
            </w:pP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w w:val="98"/>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80" w:type="dxa"/>
            <w:vAlign w:val="bottom"/>
            <w:gridSpan w:val="3"/>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00"/>
              <w:spacing w:after="0" w:line="130"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6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780" w:type="dxa"/>
            <w:vAlign w:val="bottom"/>
            <w:gridSpan w:val="3"/>
          </w:tcPr>
          <w:p>
            <w:pPr>
              <w:ind w:left="840"/>
              <w:spacing w:after="0"/>
              <w:rPr>
                <w:sz w:val="20"/>
                <w:szCs w:val="20"/>
                <w:color w:val="auto"/>
              </w:rPr>
            </w:pPr>
            <w:r>
              <w:rPr>
                <w:rFonts w:ascii="Times New Roman" w:cs="Times New Roman" w:eastAsia="Times New Roman" w:hAnsi="Times New Roman"/>
                <w:sz w:val="17"/>
                <w:szCs w:val="17"/>
                <w:color w:val="0000FF"/>
              </w:rPr>
              <w:t>05/31/2026</w:t>
            </w: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19"/>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130</w:t>
            </w:r>
          </w:p>
        </w:tc>
        <w:tc>
          <w:tcPr>
            <w:tcW w:w="66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008000"/>
              </w:rPr>
              <w:t>(1)</w:t>
            </w:r>
          </w:p>
        </w:tc>
        <w:tc>
          <w:tcPr>
            <w:tcW w:w="60" w:type="dxa"/>
            <w:vAlign w:val="bottom"/>
          </w:tcPr>
          <w:p>
            <w:pPr>
              <w:spacing w:after="0"/>
              <w:rPr>
                <w:sz w:val="22"/>
                <w:szCs w:val="22"/>
                <w:color w:val="auto"/>
              </w:rPr>
            </w:pPr>
          </w:p>
        </w:tc>
        <w:tc>
          <w:tcPr>
            <w:tcW w:w="1300" w:type="dxa"/>
            <w:vAlign w:val="bottom"/>
            <w:gridSpan w:val="3"/>
          </w:tcPr>
          <w:p>
            <w:pPr>
              <w:ind w:left="460"/>
              <w:spacing w:after="0"/>
              <w:rPr>
                <w:sz w:val="20"/>
                <w:szCs w:val="20"/>
                <w:color w:val="auto"/>
              </w:rPr>
            </w:pPr>
            <w:r>
              <w:rPr>
                <w:rFonts w:ascii="Times New Roman" w:cs="Times New Roman" w:eastAsia="Times New Roman" w:hAnsi="Times New Roman"/>
                <w:sz w:val="17"/>
                <w:szCs w:val="17"/>
                <w:color w:val="0000FF"/>
              </w:rPr>
              <w:t>33,834</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780" w:type="dxa"/>
            <w:vAlign w:val="bottom"/>
            <w:gridSpan w:val="3"/>
          </w:tcPr>
          <w:p>
            <w:pPr>
              <w:ind w:left="840"/>
              <w:spacing w:after="0"/>
              <w:rPr>
                <w:sz w:val="20"/>
                <w:szCs w:val="20"/>
                <w:color w:val="auto"/>
              </w:rPr>
            </w:pPr>
            <w:r>
              <w:rPr>
                <w:rFonts w:ascii="Times New Roman" w:cs="Times New Roman" w:eastAsia="Times New Roman" w:hAnsi="Times New Roman"/>
                <w:sz w:val="17"/>
                <w:szCs w:val="17"/>
                <w:color w:val="0000FF"/>
              </w:rPr>
              <w:t>05/31/2026</w:t>
            </w: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39"/>
              <w:spacing w:after="0"/>
              <w:rPr>
                <w:sz w:val="20"/>
                <w:szCs w:val="20"/>
                <w:color w:val="auto"/>
              </w:rPr>
            </w:pPr>
            <w:r>
              <w:rPr>
                <w:rFonts w:ascii="Times New Roman" w:cs="Times New Roman" w:eastAsia="Times New Roman" w:hAnsi="Times New Roman"/>
                <w:sz w:val="13"/>
                <w:szCs w:val="13"/>
                <w:color w:val="0000FF"/>
                <w:w w:val="82"/>
              </w:rPr>
              <w:t>F</w:t>
            </w:r>
          </w:p>
        </w:tc>
        <w:tc>
          <w:tcPr>
            <w:tcW w:w="200" w:type="dxa"/>
            <w:vAlign w:val="bottom"/>
          </w:tcPr>
          <w:p>
            <w:pPr>
              <w:spacing w:after="0"/>
              <w:rPr>
                <w:sz w:val="22"/>
                <w:szCs w:val="22"/>
                <w:color w:val="auto"/>
              </w:rPr>
            </w:pPr>
          </w:p>
        </w:tc>
        <w:tc>
          <w:tcPr>
            <w:tcW w:w="5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0000FF"/>
              </w:rPr>
              <w:t>39</w:t>
            </w:r>
          </w:p>
        </w:tc>
        <w:tc>
          <w:tcPr>
            <w:tcW w:w="66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3.06</w:t>
            </w:r>
          </w:p>
        </w:tc>
        <w:tc>
          <w:tcPr>
            <w:tcW w:w="1300" w:type="dxa"/>
            <w:vAlign w:val="bottom"/>
            <w:gridSpan w:val="3"/>
          </w:tcPr>
          <w:p>
            <w:pPr>
              <w:ind w:left="460"/>
              <w:spacing w:after="0"/>
              <w:rPr>
                <w:sz w:val="20"/>
                <w:szCs w:val="20"/>
                <w:color w:val="auto"/>
              </w:rPr>
            </w:pPr>
            <w:r>
              <w:rPr>
                <w:rFonts w:ascii="Times New Roman" w:cs="Times New Roman" w:eastAsia="Times New Roman" w:hAnsi="Times New Roman"/>
                <w:sz w:val="17"/>
                <w:szCs w:val="17"/>
                <w:color w:val="0000FF"/>
              </w:rPr>
              <w:t>33,795</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2200" w:type="dxa"/>
            <w:vAlign w:val="bottom"/>
            <w:tcBorders>
              <w:bottom w:val="single" w:sz="8" w:color="2C2C2C"/>
            </w:tcBorders>
            <w:gridSpan w:val="2"/>
          </w:tcPr>
          <w:p>
            <w:pPr>
              <w:spacing w:after="0"/>
              <w:rPr>
                <w:sz w:val="8"/>
                <w:szCs w:val="8"/>
                <w:color w:val="auto"/>
              </w:rPr>
            </w:pPr>
          </w:p>
        </w:tc>
        <w:tc>
          <w:tcPr>
            <w:tcW w:w="1720" w:type="dxa"/>
            <w:vAlign w:val="bottom"/>
            <w:tcBorders>
              <w:bottom w:val="single" w:sz="8" w:color="2C2C2C"/>
            </w:tcBorders>
            <w:gridSpan w:val="5"/>
          </w:tcPr>
          <w:p>
            <w:pPr>
              <w:spacing w:after="0"/>
              <w:rPr>
                <w:sz w:val="8"/>
                <w:szCs w:val="8"/>
                <w:color w:val="auto"/>
              </w:rPr>
            </w:pPr>
          </w:p>
        </w:tc>
        <w:tc>
          <w:tcPr>
            <w:tcW w:w="2520" w:type="dxa"/>
            <w:vAlign w:val="bottom"/>
            <w:tcBorders>
              <w:bottom w:val="single" w:sz="8" w:color="2C2C2C"/>
            </w:tcBorders>
            <w:gridSpan w:val="5"/>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5"/>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60" w:type="dxa"/>
            <w:vAlign w:val="bottom"/>
            <w:gridSpan w:val="12"/>
          </w:tcPr>
          <w:p>
            <w:pPr>
              <w:ind w:left="6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2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60" w:type="dxa"/>
            <w:vAlign w:val="bottom"/>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0.00</w:t>
            </w:r>
          </w:p>
        </w:tc>
        <w:tc>
          <w:tcPr>
            <w:tcW w:w="160" w:type="dxa"/>
            <w:vAlign w:val="bottom"/>
          </w:tcPr>
          <w:p>
            <w:pPr>
              <w:spacing w:after="0"/>
              <w:rPr>
                <w:sz w:val="15"/>
                <w:szCs w:val="15"/>
                <w:color w:val="auto"/>
              </w:rPr>
            </w:pPr>
          </w:p>
        </w:tc>
        <w:tc>
          <w:tcPr>
            <w:tcW w:w="1040" w:type="dxa"/>
            <w:vAlign w:val="bottom"/>
            <w:vMerge w:val="restart"/>
          </w:tcPr>
          <w:p>
            <w:pPr>
              <w:ind w:left="260"/>
              <w:spacing w:after="0"/>
              <w:rPr>
                <w:sz w:val="20"/>
                <w:szCs w:val="20"/>
                <w:color w:val="auto"/>
              </w:rPr>
            </w:pPr>
            <w:r>
              <w:rPr>
                <w:rFonts w:ascii="Times New Roman" w:cs="Times New Roman" w:eastAsia="Times New Roman" w:hAnsi="Times New Roman"/>
                <w:sz w:val="13"/>
                <w:szCs w:val="13"/>
                <w:color w:val="0000FF"/>
              </w:rPr>
              <w:t>05/31/2026</w:t>
            </w: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5"/>
                <w:szCs w:val="15"/>
                <w:color w:val="auto"/>
              </w:rPr>
            </w:pPr>
          </w:p>
        </w:tc>
        <w:tc>
          <w:tcPr>
            <w:tcW w:w="780" w:type="dxa"/>
            <w:vAlign w:val="bottom"/>
            <w:vMerge w:val="restart"/>
          </w:tcPr>
          <w:p>
            <w:pPr>
              <w:ind w:left="440"/>
              <w:spacing w:after="0"/>
              <w:rPr>
                <w:sz w:val="20"/>
                <w:szCs w:val="20"/>
                <w:color w:val="auto"/>
              </w:rPr>
            </w:pPr>
            <w:r>
              <w:rPr>
                <w:rFonts w:ascii="Times New Roman" w:cs="Times New Roman" w:eastAsia="Times New Roman" w:hAnsi="Times New Roman"/>
                <w:sz w:val="13"/>
                <w:szCs w:val="13"/>
                <w:color w:val="0000FF"/>
              </w:rPr>
              <w:t>130</w:t>
            </w:r>
          </w:p>
        </w:tc>
        <w:tc>
          <w:tcPr>
            <w:tcW w:w="760" w:type="dxa"/>
            <w:vAlign w:val="bottom"/>
            <w:gridSpan w:val="2"/>
            <w:vMerge w:val="restart"/>
          </w:tcPr>
          <w:p>
            <w:pPr>
              <w:jc w:val="center"/>
              <w:ind w:right="19"/>
              <w:spacing w:after="0"/>
              <w:rPr>
                <w:sz w:val="20"/>
                <w:szCs w:val="20"/>
                <w:color w:val="auto"/>
              </w:rPr>
            </w:pPr>
            <w:r>
              <w:rPr>
                <w:rFonts w:ascii="Times New Roman" w:cs="Times New Roman" w:eastAsia="Times New Roman" w:hAnsi="Times New Roman"/>
                <w:sz w:val="11"/>
                <w:szCs w:val="11"/>
                <w:color w:val="008000"/>
                <w:w w:val="93"/>
              </w:rPr>
              <w:t>(2)</w:t>
            </w:r>
          </w:p>
        </w:tc>
        <w:tc>
          <w:tcPr>
            <w:tcW w:w="200" w:type="dxa"/>
            <w:vAlign w:val="bottom"/>
          </w:tcPr>
          <w:p>
            <w:pPr>
              <w:spacing w:after="0"/>
              <w:rPr>
                <w:sz w:val="15"/>
                <w:szCs w:val="15"/>
                <w:color w:val="auto"/>
              </w:rPr>
            </w:pPr>
          </w:p>
        </w:tc>
        <w:tc>
          <w:tcPr>
            <w:tcW w:w="52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(2)</w:t>
            </w:r>
          </w:p>
        </w:tc>
        <w:tc>
          <w:tcPr>
            <w:tcW w:w="6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130</w:t>
            </w:r>
          </w:p>
        </w:tc>
        <w:tc>
          <w:tcPr>
            <w:tcW w:w="60" w:type="dxa"/>
            <w:vAlign w:val="bottom"/>
          </w:tcPr>
          <w:p>
            <w:pPr>
              <w:spacing w:after="0"/>
              <w:rPr>
                <w:sz w:val="15"/>
                <w:szCs w:val="15"/>
                <w:color w:val="auto"/>
              </w:rPr>
            </w:pPr>
          </w:p>
        </w:tc>
        <w:tc>
          <w:tcPr>
            <w:tcW w:w="700" w:type="dxa"/>
            <w:vAlign w:val="bottom"/>
            <w:gridSpan w:val="2"/>
            <w:vMerge w:val="restart"/>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0.00</w:t>
            </w:r>
          </w:p>
        </w:tc>
        <w:tc>
          <w:tcPr>
            <w:tcW w:w="60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419</w:t>
            </w:r>
          </w:p>
        </w:tc>
        <w:tc>
          <w:tcPr>
            <w:tcW w:w="280" w:type="dxa"/>
            <w:vAlign w:val="bottom"/>
          </w:tcPr>
          <w:p>
            <w:pPr>
              <w:spacing w:after="0"/>
              <w:rPr>
                <w:sz w:val="15"/>
                <w:szCs w:val="15"/>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6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2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-2022475</wp:posOffset>
            </wp:positionV>
            <wp:extent cx="29210" cy="20275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2755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convert into common stock on a one-for-one basis.</w:t>
      </w:r>
    </w:p>
    <w:p>
      <w:pPr>
        <w:spacing w:after="0" w:line="45" w:lineRule="exact"/>
        <w:rPr>
          <w:rFonts w:ascii="Times New Roman" w:cs="Times New Roman" w:eastAsia="Times New Roman" w:hAnsi="Times New Roman"/>
          <w:sz w:val="13"/>
          <w:szCs w:val="13"/>
          <w:color w:val="008000"/>
        </w:rPr>
      </w:pPr>
    </w:p>
    <w:p>
      <w:pPr>
        <w:ind w:left="40" w:right="160" w:firstLine="3"/>
        <w:spacing w:after="0" w:line="260"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September 23, 2022, the reporting person was granted 6,278 restricted stock units, vesting 25% on the first anniversary of the grant date, with the remaining 75% vesting in 36 equal monthly installments on the last day of each month thereafter.</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7"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Meghan Shevlin, Attorney-</w:t>
            </w:r>
          </w:p>
        </w:tc>
        <w:tc>
          <w:tcPr>
            <w:tcW w:w="60" w:type="dxa"/>
            <w:vAlign w:val="bottom"/>
          </w:tcPr>
          <w:p>
            <w:pPr>
              <w:spacing w:after="0"/>
              <w:rPr>
                <w:sz w:val="18"/>
                <w:szCs w:val="18"/>
                <w:color w:val="auto"/>
              </w:rPr>
            </w:pPr>
          </w:p>
        </w:tc>
        <w:tc>
          <w:tcPr>
            <w:tcW w:w="86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8"/>
              </w:rPr>
              <w:t>06/01/2026</w:t>
            </w:r>
          </w:p>
        </w:tc>
        <w:tc>
          <w:tcPr>
            <w:tcW w:w="0" w:type="dxa"/>
            <w:vAlign w:val="bottom"/>
          </w:tcPr>
          <w:p>
            <w:pPr>
              <w:spacing w:after="0"/>
              <w:rPr>
                <w:sz w:val="1"/>
                <w:szCs w:val="1"/>
                <w:color w:val="auto"/>
              </w:rPr>
            </w:pPr>
          </w:p>
        </w:tc>
      </w:tr>
      <w:tr>
        <w:trPr>
          <w:trHeight w:val="84"/>
        </w:trPr>
        <w:tc>
          <w:tcPr>
            <w:tcW w:w="480" w:type="dxa"/>
            <w:vAlign w:val="bottom"/>
            <w:vMerge w:val="restart"/>
          </w:tcPr>
          <w:p>
            <w:pPr>
              <w:spacing w:after="0" w:line="189" w:lineRule="exact"/>
              <w:rPr>
                <w:sz w:val="20"/>
                <w:szCs w:val="20"/>
                <w:color w:val="auto"/>
              </w:rPr>
            </w:pPr>
            <w:r>
              <w:rPr>
                <w:rFonts w:ascii="Times New Roman" w:cs="Times New Roman" w:eastAsia="Times New Roman" w:hAnsi="Times New Roman"/>
                <w:sz w:val="17"/>
                <w:szCs w:val="17"/>
                <w:color w:val="0000FF"/>
                <w:w w:val="95"/>
              </w:rPr>
              <w:t>in-Fact</w:t>
            </w:r>
          </w:p>
        </w:tc>
        <w:tc>
          <w:tcPr>
            <w:tcW w:w="1640" w:type="dxa"/>
            <w:vAlign w:val="bottom"/>
            <w:gridSpan w:val="2"/>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480" w:type="dxa"/>
            <w:vAlign w:val="bottom"/>
            <w:tcBorders>
              <w:bottom w:val="single" w:sz="8" w:color="auto"/>
            </w:tcBorders>
            <w:vMerge w:val="continue"/>
          </w:tcPr>
          <w:p>
            <w:pPr>
              <w:spacing w:after="0"/>
              <w:rPr>
                <w:sz w:val="7"/>
                <w:szCs w:val="7"/>
                <w:color w:val="auto"/>
              </w:rPr>
            </w:pPr>
          </w:p>
        </w:tc>
        <w:tc>
          <w:tcPr>
            <w:tcW w:w="16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198" w:lineRule="exact"/>
        <w:rPr>
          <w:sz w:val="20"/>
          <w:szCs w:val="20"/>
          <w:color w:val="auto"/>
        </w:rPr>
      </w:pPr>
    </w:p>
    <w:p>
      <w:pPr>
        <w:ind w:right="2879"/>
        <w:spacing w:after="0" w:line="282"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Daniel Char, Michael Lanieri, Bonnie McManus, and Meghan Shevlin as the undersigned's true and lawful attorney-in-fact to:</w:t>
      </w:r>
    </w:p>
    <w:p>
      <w:pPr>
        <w:spacing w:after="0" w:line="72" w:lineRule="exact"/>
        <w:rPr>
          <w:sz w:val="20"/>
          <w:szCs w:val="20"/>
          <w:color w:val="auto"/>
        </w:rPr>
      </w:pPr>
    </w:p>
    <w:p>
      <w:pPr>
        <w:ind w:right="3279"/>
        <w:spacing w:after="0" w:line="286" w:lineRule="auto"/>
        <w:rPr>
          <w:sz w:val="20"/>
          <w:szCs w:val="20"/>
          <w:color w:val="auto"/>
        </w:rPr>
      </w:pPr>
      <w:r>
        <w:rPr>
          <w:rFonts w:ascii="Courier New" w:cs="Courier New" w:eastAsia="Courier New" w:hAnsi="Courier New"/>
          <w:sz w:val="16"/>
          <w:szCs w:val="16"/>
          <w:color w:val="auto"/>
        </w:rPr>
        <w:t>execute for and on behalf of the undersigned, in the undersigned's capacity as a beneficial owner of Quanterix Corporation (the "Company"), Forms 3, 4, and 5 in accordance with Section 16(a) of the Securities Exchange Act of 1934 and the rules thereunder and Schedules 13D and 13G in accordance with Section 13 of the Securities Exchange Act of 1934 and the rules thereunder;</w:t>
      </w:r>
    </w:p>
    <w:p>
      <w:pPr>
        <w:spacing w:after="0" w:line="72" w:lineRule="exact"/>
        <w:rPr>
          <w:sz w:val="20"/>
          <w:szCs w:val="20"/>
          <w:color w:val="auto"/>
        </w:rPr>
      </w:pPr>
    </w:p>
    <w:p>
      <w:pPr>
        <w:ind w:right="3079"/>
        <w:spacing w:after="0" w:line="266" w:lineRule="auto"/>
        <w:rPr>
          <w:sz w:val="20"/>
          <w:szCs w:val="20"/>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or Schedules 13D or 13G, complete and execute any amendment or amendments thereto, and timely file such form with the U.S. Securities and Exchange Commission (the "SEC") and any securities exchange or similar authority; and</w:t>
      </w:r>
    </w:p>
    <w:p>
      <w:pPr>
        <w:spacing w:after="0" w:line="88" w:lineRule="exact"/>
        <w:rPr>
          <w:sz w:val="20"/>
          <w:szCs w:val="20"/>
          <w:color w:val="auto"/>
        </w:rPr>
      </w:pPr>
    </w:p>
    <w:p>
      <w:pPr>
        <w:ind w:right="3179"/>
        <w:spacing w:after="0" w:line="260" w:lineRule="auto"/>
        <w:rPr>
          <w:sz w:val="20"/>
          <w:szCs w:val="20"/>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90" w:lineRule="exact"/>
        <w:rPr>
          <w:sz w:val="20"/>
          <w:szCs w:val="20"/>
          <w:color w:val="auto"/>
        </w:rPr>
      </w:pPr>
    </w:p>
    <w:p>
      <w:pPr>
        <w:ind w:right="3279"/>
        <w:spacing w:after="0" w:line="250" w:lineRule="auto"/>
        <w:rPr>
          <w:sz w:val="20"/>
          <w:szCs w:val="20"/>
          <w:color w:val="auto"/>
        </w:rPr>
      </w:pPr>
      <w:r>
        <w:rPr>
          <w:rFonts w:ascii="Courier New" w:cs="Courier New" w:eastAsia="Courier New" w:hAnsi="Courier New"/>
          <w:sz w:val="17"/>
          <w:szCs w:val="17"/>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also ratifies hereby any action previously taken by each attorney-in-fact that would have been authorized by this power of attorney if it had been in effect at the time such action was taken. The undersigned acknowledges that each foregoing attorney-in-fact, in serving in such capacity at the request of the undersigned, is not assuming, nor is the Company assuming, any of the undersigned's responsibilities to comply with Sections 13 and 16 of the Securities Exchange Act of 1934.</w:t>
      </w:r>
    </w:p>
    <w:p>
      <w:pPr>
        <w:spacing w:after="0" w:line="103" w:lineRule="exact"/>
        <w:rPr>
          <w:sz w:val="20"/>
          <w:szCs w:val="20"/>
          <w:color w:val="auto"/>
        </w:rPr>
      </w:pPr>
    </w:p>
    <w:p>
      <w:pPr>
        <w:ind w:right="3379"/>
        <w:spacing w:after="0" w:line="266"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and Schedules 13D and 13G with respect to the undersigned's holdings of and transactions in securities issued by the Company, unless earlier revoked by the undersigned in a signed writing delivered to each foregoing attorney-in-fact.</w:t>
      </w:r>
    </w:p>
    <w:p>
      <w:pPr>
        <w:spacing w:after="0" w:line="88" w:lineRule="exact"/>
        <w:rPr>
          <w:sz w:val="20"/>
          <w:szCs w:val="20"/>
          <w:color w:val="auto"/>
        </w:rPr>
      </w:pPr>
    </w:p>
    <w:p>
      <w:pPr>
        <w:ind w:right="2979"/>
        <w:spacing w:after="0" w:line="358"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17th day of February 2026.</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Michael F. Miller name: Michael Miller</w:t>
      </w:r>
    </w:p>
    <w:sectPr>
      <w:pgSz w:w="11900" w:h="16838" w:orient="portrait"/>
      <w:cols w:equalWidth="0" w:num="1">
        <w:col w:w="9999"/>
      </w:cols>
      <w:pgMar w:left="46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120516" TargetMode="External"/><Relationship Id="rId14" Type="http://schemas.openxmlformats.org/officeDocument/2006/relationships/hyperlink" Target="http://www.sec.gov/cgi-bin/browse-edgar?action=getcompany&amp;CIK=00015032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2026-06-01T16:12:58Z</dcterms:created>
  <dcterms:modified xsi:type="dcterms:W3CDTF">2026-06-01T16:12:58Z</dcterms:modified>
</cp:coreProperties>
</file>