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660" w:right="400" w:hanging="328"/>
        <w:spacing w:after="0" w:line="256" w:lineRule="auto"/>
        <w:tabs>
          <w:tab w:leader="none" w:pos="525"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660" w:right="340" w:hanging="328"/>
        <w:spacing w:after="0" w:line="256" w:lineRule="auto"/>
        <w:tabs>
          <w:tab w:leader="none" w:pos="566"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420"/>
          </w:cols>
          <w:pgMar w:left="240" w:top="233" w:right="239" w:bottom="248" w:gutter="0" w:footer="0" w:header="0"/>
        </w:sectPr>
      </w:pPr>
    </w:p>
    <w:p>
      <w:pPr>
        <w:spacing w:after="0" w:line="172" w:lineRule="exact"/>
        <w:rPr>
          <w:sz w:val="24"/>
          <w:szCs w:val="24"/>
          <w:color w:val="auto"/>
        </w:rPr>
      </w:pPr>
    </w:p>
    <w:p>
      <w:pPr>
        <w:ind w:left="328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jc w:val="center"/>
        <w:ind w:right="460"/>
        <w:spacing w:after="0"/>
        <w:rPr>
          <w:sz w:val="20"/>
          <w:szCs w:val="20"/>
          <w:color w:val="auto"/>
        </w:rPr>
      </w:pP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br w:type="column"/>
      </w:r>
    </w:p>
    <w:p>
      <w:pPr>
        <w:spacing w:after="0" w:line="152"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w:t>
      </w:r>
    </w:p>
    <w:p>
      <w:pPr>
        <w:spacing w:after="0" w:line="222" w:lineRule="exact"/>
        <w:rPr>
          <w:sz w:val="24"/>
          <w:szCs w:val="24"/>
          <w:color w:val="auto"/>
        </w:rPr>
      </w:pPr>
    </w:p>
    <w:p>
      <w:pPr>
        <w:sectPr>
          <w:pgSz w:w="11900" w:h="16838" w:orient="portrait"/>
          <w:cols w:equalWidth="0" w:num="3">
            <w:col w:w="6060" w:space="720"/>
            <w:col w:w="600" w:space="720"/>
            <w:col w:w="3320"/>
          </w:cols>
          <w:pgMar w:left="240" w:top="233" w:right="239" w:bottom="248" w:gutter="0" w:footer="0" w:header="0"/>
          <w:type w:val="continuous"/>
        </w:sectPr>
      </w:pPr>
    </w:p>
    <w:p>
      <w:pPr>
        <w:spacing w:after="0" w:line="4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001-38319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238125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233" w:right="239" w:bottom="248"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QUANTERIX CORPORATION</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tbl>
      <w:tblPr>
        <w:tblLayout w:type="fixed"/>
        <w:tblInd w:w="660" w:type="dxa"/>
        <w:tblCellMar>
          <w:top w:w="0" w:type="dxa"/>
          <w:left w:w="0" w:type="dxa"/>
          <w:bottom w:w="0" w:type="dxa"/>
          <w:right w:w="0" w:type="dxa"/>
        </w:tblCellMar>
      </w:tblPr>
      <w:tr>
        <w:trPr>
          <w:trHeight w:val="220"/>
        </w:trPr>
        <w:tc>
          <w:tcPr>
            <w:tcW w:w="55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710"/>
              <w:spacing w:after="0"/>
              <w:rPr>
                <w:sz w:val="20"/>
                <w:szCs w:val="20"/>
                <w:color w:val="auto"/>
              </w:rPr>
            </w:pPr>
            <w:r>
              <w:rPr>
                <w:rFonts w:ascii="Arial" w:cs="Arial" w:eastAsia="Arial" w:hAnsi="Arial"/>
                <w:sz w:val="18"/>
                <w:szCs w:val="18"/>
                <w:b w:val="1"/>
                <w:bCs w:val="1"/>
                <w:color w:val="auto"/>
              </w:rPr>
              <w:t>20-8957988</w:t>
            </w:r>
          </w:p>
        </w:tc>
      </w:tr>
      <w:tr>
        <w:trPr>
          <w:trHeight w:val="230"/>
        </w:trPr>
        <w:tc>
          <w:tcPr>
            <w:tcW w:w="5520" w:type="dxa"/>
            <w:vAlign w:val="bottom"/>
          </w:tcPr>
          <w:p>
            <w:pPr>
              <w:jc w:val="center"/>
              <w:ind w:right="11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680" w:type="dxa"/>
            <w:vAlign w:val="bottom"/>
          </w:tcPr>
          <w:p>
            <w:pPr>
              <w:jc w:val="center"/>
              <w:ind w:left="1110"/>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55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0"/>
              </w:rPr>
              <w:t>113 Hartwell Ave</w:t>
            </w:r>
          </w:p>
        </w:tc>
        <w:tc>
          <w:tcPr>
            <w:tcW w:w="3680" w:type="dxa"/>
            <w:vAlign w:val="bottom"/>
          </w:tcPr>
          <w:p>
            <w:pPr>
              <w:spacing w:after="0"/>
              <w:rPr>
                <w:sz w:val="24"/>
                <w:szCs w:val="24"/>
                <w:color w:val="auto"/>
              </w:rPr>
            </w:pPr>
          </w:p>
        </w:tc>
      </w:tr>
      <w:tr>
        <w:trPr>
          <w:trHeight w:val="220"/>
        </w:trPr>
        <w:tc>
          <w:tcPr>
            <w:tcW w:w="5520" w:type="dxa"/>
            <w:vAlign w:val="bottom"/>
          </w:tcPr>
          <w:p>
            <w:pPr>
              <w:jc w:val="center"/>
              <w:ind w:right="1130"/>
              <w:spacing w:after="0"/>
              <w:rPr>
                <w:sz w:val="20"/>
                <w:szCs w:val="20"/>
                <w:color w:val="auto"/>
              </w:rPr>
            </w:pPr>
            <w:r>
              <w:rPr>
                <w:rFonts w:ascii="Arial" w:cs="Arial" w:eastAsia="Arial" w:hAnsi="Arial"/>
                <w:sz w:val="18"/>
                <w:szCs w:val="18"/>
                <w:b w:val="1"/>
                <w:bCs w:val="1"/>
                <w:color w:val="auto"/>
                <w:w w:val="95"/>
              </w:rPr>
              <w:t>Lexington, MA</w:t>
            </w:r>
          </w:p>
        </w:tc>
        <w:tc>
          <w:tcPr>
            <w:tcW w:w="3680" w:type="dxa"/>
            <w:vAlign w:val="bottom"/>
          </w:tcPr>
          <w:p>
            <w:pPr>
              <w:jc w:val="right"/>
              <w:ind w:right="930"/>
              <w:spacing w:after="0"/>
              <w:rPr>
                <w:sz w:val="20"/>
                <w:szCs w:val="20"/>
                <w:color w:val="auto"/>
              </w:rPr>
            </w:pPr>
            <w:r>
              <w:rPr>
                <w:rFonts w:ascii="Arial" w:cs="Arial" w:eastAsia="Arial" w:hAnsi="Arial"/>
                <w:sz w:val="18"/>
                <w:szCs w:val="18"/>
                <w:b w:val="1"/>
                <w:bCs w:val="1"/>
                <w:color w:val="auto"/>
              </w:rPr>
              <w:t>02421</w:t>
            </w:r>
          </w:p>
        </w:tc>
      </w:tr>
      <w:tr>
        <w:trPr>
          <w:trHeight w:val="230"/>
        </w:trPr>
        <w:tc>
          <w:tcPr>
            <w:tcW w:w="5520" w:type="dxa"/>
            <w:vAlign w:val="bottom"/>
          </w:tcPr>
          <w:p>
            <w:pPr>
              <w:jc w:val="center"/>
              <w:ind w:right="113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301-9400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240" w:firstLine="519"/>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20" w:firstLine="519"/>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right="180" w:firstLine="519"/>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5160" w:type="dxa"/>
            <w:vAlign w:val="bottom"/>
          </w:tcPr>
          <w:p>
            <w:pPr>
              <w:ind w:left="340"/>
              <w:spacing w:after="0"/>
              <w:rPr>
                <w:sz w:val="20"/>
                <w:szCs w:val="20"/>
                <w:color w:val="auto"/>
              </w:rPr>
            </w:pPr>
            <w:r>
              <w:rPr>
                <w:rFonts w:ascii="Arial" w:cs="Arial" w:eastAsia="Arial" w:hAnsi="Arial"/>
                <w:sz w:val="18"/>
                <w:szCs w:val="18"/>
                <w:color w:val="auto"/>
              </w:rPr>
              <w:t>o</w:t>
            </w:r>
          </w:p>
        </w:tc>
        <w:tc>
          <w:tcPr>
            <w:tcW w:w="3760" w:type="dxa"/>
            <w:vAlign w:val="bottom"/>
          </w:tcPr>
          <w:p>
            <w:pPr>
              <w:ind w:left="136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o</w:t>
            </w:r>
          </w:p>
        </w:tc>
      </w:tr>
      <w:tr>
        <w:trPr>
          <w:trHeight w:val="216"/>
        </w:trPr>
        <w:tc>
          <w:tcPr>
            <w:tcW w:w="1960" w:type="dxa"/>
            <w:vAlign w:val="bottom"/>
          </w:tcPr>
          <w:p>
            <w:pPr>
              <w:spacing w:after="0"/>
              <w:rPr>
                <w:sz w:val="20"/>
                <w:szCs w:val="20"/>
                <w:color w:val="auto"/>
              </w:rPr>
            </w:pPr>
            <w:r>
              <w:rPr>
                <w:rFonts w:ascii="Arial" w:cs="Arial" w:eastAsia="Arial" w:hAnsi="Arial"/>
                <w:sz w:val="18"/>
                <w:szCs w:val="18"/>
                <w:color w:val="auto"/>
              </w:rPr>
              <w:t>Non-accelerated filer</w:t>
            </w:r>
          </w:p>
        </w:tc>
        <w:tc>
          <w:tcPr>
            <w:tcW w:w="5160" w:type="dxa"/>
            <w:vAlign w:val="bottom"/>
          </w:tcPr>
          <w:p>
            <w:pPr>
              <w:ind w:left="340"/>
              <w:spacing w:after="0"/>
              <w:rPr>
                <w:sz w:val="20"/>
                <w:szCs w:val="20"/>
                <w:color w:val="auto"/>
              </w:rPr>
            </w:pPr>
            <w:r>
              <w:rPr>
                <w:rFonts w:ascii="Arial" w:cs="Arial" w:eastAsia="Arial" w:hAnsi="Arial"/>
                <w:sz w:val="18"/>
                <w:szCs w:val="18"/>
                <w:color w:val="auto"/>
              </w:rPr>
              <w:t>x (Do not check if a smaller reporting company)</w:t>
            </w:r>
          </w:p>
        </w:tc>
        <w:tc>
          <w:tcPr>
            <w:tcW w:w="3760" w:type="dxa"/>
            <w:vAlign w:val="bottom"/>
          </w:tcPr>
          <w:p>
            <w:pPr>
              <w:ind w:left="136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460"/>
              <w:spacing w:after="0"/>
              <w:rPr>
                <w:sz w:val="20"/>
                <w:szCs w:val="20"/>
                <w:color w:val="auto"/>
              </w:rPr>
            </w:pPr>
            <w:r>
              <w:rPr>
                <w:rFonts w:ascii="Arial" w:cs="Arial" w:eastAsia="Arial" w:hAnsi="Arial"/>
                <w:sz w:val="15"/>
                <w:szCs w:val="15"/>
                <w:color w:val="auto"/>
                <w:w w:val="71"/>
              </w:rPr>
              <w:t>o</w:t>
            </w:r>
          </w:p>
        </w:tc>
      </w:tr>
      <w:tr>
        <w:trPr>
          <w:trHeight w:val="230"/>
        </w:trPr>
        <w:tc>
          <w:tcPr>
            <w:tcW w:w="19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760" w:type="dxa"/>
            <w:vAlign w:val="bottom"/>
          </w:tcPr>
          <w:p>
            <w:pPr>
              <w:ind w:left="1360"/>
              <w:spacing w:after="0"/>
              <w:rPr>
                <w:sz w:val="20"/>
                <w:szCs w:val="20"/>
                <w:color w:val="auto"/>
              </w:rPr>
            </w:pPr>
            <w:r>
              <w:rPr>
                <w:rFonts w:ascii="Arial" w:cs="Arial" w:eastAsia="Arial" w:hAnsi="Arial"/>
                <w:sz w:val="18"/>
                <w:szCs w:val="18"/>
                <w:color w:val="auto"/>
              </w:rPr>
              <w:t>Emerging growth company</w:t>
            </w:r>
          </w:p>
        </w:tc>
        <w:tc>
          <w:tcPr>
            <w:tcW w:w="540" w:type="dxa"/>
            <w:vAlign w:val="bottom"/>
          </w:tcPr>
          <w:p>
            <w:pPr>
              <w:ind w:left="460"/>
              <w:spacing w:after="0"/>
              <w:rPr>
                <w:sz w:val="20"/>
                <w:szCs w:val="20"/>
                <w:color w:val="auto"/>
              </w:rPr>
            </w:pPr>
            <w:r>
              <w:rPr>
                <w:rFonts w:ascii="Arial" w:cs="Arial" w:eastAsia="Arial" w:hAnsi="Arial"/>
                <w:sz w:val="17"/>
                <w:szCs w:val="17"/>
                <w:color w:val="auto"/>
                <w:w w:val="70"/>
              </w:rPr>
              <w:t>x</w:t>
            </w:r>
          </w:p>
        </w:tc>
      </w:tr>
    </w:tbl>
    <w:p>
      <w:pPr>
        <w:spacing w:after="0" w:line="202"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o Yes x No</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As of May 1, 2018, the registrant had 21,960,140 shares of common stock, $0.001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33" w:right="239" w:bottom="248" w:gutter="0" w:footer="0" w:header="0"/>
          <w:type w:val="continuous"/>
        </w:sectPr>
      </w:pPr>
    </w:p>
    <w:bookmarkStart w:id="1" w:name="page2"/>
    <w:bookmarkEnd w:id="1"/>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Page</w:t>
            </w:r>
          </w:p>
        </w:tc>
      </w:tr>
      <w:tr>
        <w:trPr>
          <w:trHeight w:val="385"/>
        </w:trPr>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40" w:type="dxa"/>
            <w:vAlign w:val="bottom"/>
            <w:tcBorders>
              <w:bottom w:val="single" w:sz="8" w:color="0000EE"/>
            </w:tcBorders>
            <w:gridSpan w:val="9"/>
          </w:tcPr>
          <w:p>
            <w:pPr>
              <w:jc w:val="cente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3060" w:type="dxa"/>
            <w:vAlign w:val="bottom"/>
            <w:gridSpan w:val="4"/>
          </w:tcPr>
          <w:p>
            <w:pPr>
              <w:spacing w:after="0"/>
              <w:rPr>
                <w:sz w:val="24"/>
                <w:szCs w:val="24"/>
                <w:color w:val="auto"/>
              </w:rPr>
            </w:pPr>
          </w:p>
        </w:tc>
        <w:tc>
          <w:tcPr>
            <w:tcW w:w="1020" w:type="dxa"/>
            <w:vAlign w:val="bottom"/>
          </w:tcPr>
          <w:p>
            <w:pPr>
              <w:spacing w:after="0"/>
              <w:rPr>
                <w:sz w:val="24"/>
                <w:szCs w:val="24"/>
                <w:color w:val="auto"/>
              </w:rPr>
            </w:pPr>
          </w:p>
        </w:tc>
      </w:tr>
      <w:tr>
        <w:trPr>
          <w:trHeight w:val="412"/>
        </w:trPr>
        <w:tc>
          <w:tcPr>
            <w:tcW w:w="4160" w:type="dxa"/>
            <w:vAlign w:val="bottom"/>
            <w:tcBorders>
              <w:bottom w:val="single" w:sz="8" w:color="0000EE"/>
            </w:tcBorders>
            <w:gridSpan w:val="13"/>
          </w:tcPr>
          <w:p>
            <w:pPr>
              <w:spacing w:after="0"/>
              <w:rPr>
                <w:rFonts w:ascii="Arial" w:cs="Arial" w:eastAsia="Arial" w:hAnsi="Arial"/>
                <w:sz w:val="18"/>
                <w:szCs w:val="18"/>
                <w:color w:val="0000EE"/>
                <w:w w:val="91"/>
              </w:rPr>
            </w:pPr>
            <w:hyperlink w:anchor="page2">
              <w:r>
                <w:rPr>
                  <w:rFonts w:ascii="Arial" w:cs="Arial" w:eastAsia="Arial" w:hAnsi="Arial"/>
                  <w:sz w:val="18"/>
                  <w:szCs w:val="18"/>
                  <w:color w:val="0000EE"/>
                  <w:w w:val="91"/>
                </w:rPr>
                <w:t>Cautionary Note Regarding Forward-Looking Statements</w:t>
              </w:r>
            </w:hyperlink>
          </w:p>
        </w:tc>
        <w:tc>
          <w:tcPr>
            <w:tcW w:w="624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12"/>
        </w:trPr>
        <w:tc>
          <w:tcPr>
            <w:tcW w:w="1040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6860" w:type="dxa"/>
            <w:vAlign w:val="bottom"/>
            <w:tcBorders>
              <w:bottom w:val="single" w:sz="8" w:color="0000EE"/>
            </w:tcBorders>
            <w:gridSpan w:val="19"/>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Balance Sheets at March 31, 2018 and December 31, 2017</w:t>
              </w:r>
            </w:hyperlink>
          </w:p>
        </w:tc>
        <w:tc>
          <w:tcPr>
            <w:tcW w:w="308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60" w:type="dxa"/>
            <w:vAlign w:val="bottom"/>
          </w:tcPr>
          <w:p>
            <w:pPr>
              <w:spacing w:after="0"/>
              <w:rPr>
                <w:sz w:val="17"/>
                <w:szCs w:val="17"/>
                <w:color w:val="auto"/>
              </w:rPr>
            </w:pPr>
          </w:p>
        </w:tc>
        <w:tc>
          <w:tcPr>
            <w:tcW w:w="9600" w:type="dxa"/>
            <w:vAlign w:val="bottom"/>
            <w:tcBorders>
              <w:bottom w:val="single" w:sz="8" w:color="0000EE"/>
            </w:tcBorders>
            <w:gridSpan w:val="23"/>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Unaudited Condensed Consolidated Statements of Operations and Comprehensive Loss for the Three Months Ended March 31, 2018</w:t>
              </w:r>
            </w:hyperlink>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760" w:type="dxa"/>
            <w:vAlign w:val="bottom"/>
            <w:gridSpan w:val="23"/>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and 2017</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9940" w:type="dxa"/>
            <w:vAlign w:val="bottom"/>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Statements of Stockholders’ Equity for the Three Months Ended March 31, 2018</w:t>
              </w:r>
            </w:hyperlink>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460" w:type="dxa"/>
            <w:vAlign w:val="bottom"/>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6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850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Unaudited Condensed Consolidated Statements of Cash Flows for the Three Months Ended March 31, 2018 and 2017</w:t>
              </w:r>
            </w:hyperlink>
          </w:p>
        </w:tc>
        <w:tc>
          <w:tcPr>
            <w:tcW w:w="1440" w:type="dxa"/>
            <w:vAlign w:val="bottom"/>
            <w:gridSpan w:val="2"/>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460" w:type="dxa"/>
            <w:vAlign w:val="bottom"/>
          </w:tcPr>
          <w:p>
            <w:pPr>
              <w:spacing w:after="0"/>
              <w:rPr>
                <w:sz w:val="17"/>
                <w:szCs w:val="17"/>
                <w:color w:val="auto"/>
              </w:rPr>
            </w:pPr>
          </w:p>
        </w:tc>
        <w:tc>
          <w:tcPr>
            <w:tcW w:w="480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Notes to Unaudited Condensed Consolidated Financial Statements</w:t>
              </w:r>
            </w:hyperlink>
          </w:p>
        </w:tc>
        <w:tc>
          <w:tcPr>
            <w:tcW w:w="5140" w:type="dxa"/>
            <w:vAlign w:val="bottom"/>
            <w:gridSpan w:val="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412"/>
        </w:trPr>
        <w:tc>
          <w:tcPr>
            <w:tcW w:w="10400" w:type="dxa"/>
            <w:vAlign w:val="bottom"/>
            <w:gridSpan w:val="25"/>
          </w:tcPr>
          <w:p>
            <w:pPr>
              <w:spacing w:after="0"/>
              <w:rPr>
                <w:rFonts w:ascii="Arial" w:cs="Arial" w:eastAsia="Arial" w:hAnsi="Arial"/>
                <w:sz w:val="18"/>
                <w:szCs w:val="18"/>
                <w:color w:val="0000EE"/>
              </w:rPr>
            </w:pPr>
            <w:hyperlink w:anchor="page17">
              <w:r>
                <w:rPr>
                  <w:rFonts w:ascii="Arial" w:cs="Arial" w:eastAsia="Arial" w:hAnsi="Arial"/>
                  <w:sz w:val="18"/>
                  <w:szCs w:val="18"/>
                  <w:color w:val="0000EE"/>
                </w:rPr>
                <w:t>Item 2. Management’s Discussion and Analysis of Financial Condition and Results of Operations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412"/>
        </w:trPr>
        <w:tc>
          <w:tcPr>
            <w:tcW w:w="49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92"/>
              </w:rPr>
            </w:pPr>
            <w:hyperlink w:anchor="page22">
              <w:r>
                <w:rPr>
                  <w:rFonts w:ascii="Arial" w:cs="Arial" w:eastAsia="Arial" w:hAnsi="Arial"/>
                  <w:sz w:val="18"/>
                  <w:szCs w:val="18"/>
                  <w:color w:val="0000EE"/>
                  <w:w w:val="92"/>
                </w:rPr>
                <w:t>Item 3. 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380" w:type="dxa"/>
            <w:vAlign w:val="bottom"/>
            <w:gridSpan w:val="7"/>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10400" w:type="dxa"/>
            <w:vAlign w:val="bottom"/>
            <w:gridSpan w:val="2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 Controls and Procedures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12"/>
        </w:trPr>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160" w:type="dxa"/>
            <w:vAlign w:val="bottom"/>
            <w:gridSpan w:val="11"/>
          </w:tcPr>
          <w:p>
            <w:pPr>
              <w:jc w:val="center"/>
              <w:ind w:right="3220"/>
              <w:spacing w:after="0"/>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PART II — OTHER INFORMATION</w:t>
              </w:r>
            </w:hyperlink>
          </w:p>
        </w:tc>
        <w:tc>
          <w:tcPr>
            <w:tcW w:w="1020" w:type="dxa"/>
            <w:vAlign w:val="bottom"/>
          </w:tcPr>
          <w:p>
            <w:pPr>
              <w:spacing w:after="0"/>
              <w:rPr>
                <w:sz w:val="24"/>
                <w:szCs w:val="24"/>
                <w:color w:val="auto"/>
              </w:rPr>
            </w:pPr>
          </w:p>
        </w:tc>
      </w:tr>
      <w:tr>
        <w:trPr>
          <w:trHeight w:val="412"/>
        </w:trPr>
        <w:tc>
          <w:tcPr>
            <w:tcW w:w="190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1. Legal Proceedings</w:t>
              </w:r>
            </w:hyperlink>
          </w:p>
        </w:tc>
        <w:tc>
          <w:tcPr>
            <w:tcW w:w="2340" w:type="dxa"/>
            <w:vAlign w:val="bottom"/>
            <w:gridSpan w:val="6"/>
          </w:tcPr>
          <w:p>
            <w:pPr>
              <w:spacing w:after="0"/>
              <w:rPr>
                <w:sz w:val="24"/>
                <w:szCs w:val="24"/>
                <w:color w:val="auto"/>
              </w:rPr>
            </w:pPr>
          </w:p>
        </w:tc>
        <w:tc>
          <w:tcPr>
            <w:tcW w:w="2940" w:type="dxa"/>
            <w:vAlign w:val="bottom"/>
            <w:tcBorders>
              <w:top w:val="single" w:sz="8" w:color="0000EE"/>
            </w:tcBorders>
            <w:gridSpan w:val="5"/>
          </w:tcPr>
          <w:p>
            <w:pPr>
              <w:spacing w:after="0"/>
              <w:rPr>
                <w:sz w:val="24"/>
                <w:szCs w:val="24"/>
                <w:color w:val="auto"/>
              </w:rPr>
            </w:pPr>
          </w:p>
        </w:tc>
        <w:tc>
          <w:tcPr>
            <w:tcW w:w="3220" w:type="dxa"/>
            <w:vAlign w:val="bottom"/>
            <w:gridSpan w:val="6"/>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60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2">
              <w:r>
                <w:rPr>
                  <w:rFonts w:ascii="Arial" w:cs="Arial" w:eastAsia="Arial" w:hAnsi="Arial"/>
                  <w:sz w:val="18"/>
                  <w:szCs w:val="18"/>
                  <w:color w:val="0000EE"/>
                  <w:w w:val="91"/>
                </w:rPr>
                <w:t>Item 1A. Risk Factors</w:t>
              </w:r>
            </w:hyperlink>
          </w:p>
        </w:tc>
        <w:tc>
          <w:tcPr>
            <w:tcW w:w="8800" w:type="dxa"/>
            <w:vAlign w:val="bottom"/>
            <w:gridSpan w:val="19"/>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49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22">
              <w:r>
                <w:rPr>
                  <w:rFonts w:ascii="Arial" w:cs="Arial" w:eastAsia="Arial" w:hAnsi="Arial"/>
                  <w:sz w:val="18"/>
                  <w:szCs w:val="18"/>
                  <w:color w:val="0000EE"/>
                  <w:w w:val="89"/>
                </w:rPr>
                <w:t>Item 2. Unregistered Sales of Equity Securities and Use of Proceeds</w:t>
              </w:r>
            </w:hyperlink>
          </w:p>
        </w:tc>
        <w:tc>
          <w:tcPr>
            <w:tcW w:w="548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12"/>
        </w:trPr>
        <w:tc>
          <w:tcPr>
            <w:tcW w:w="10400" w:type="dxa"/>
            <w:vAlign w:val="bottom"/>
            <w:gridSpan w:val="2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3. Defaults Upon Senior Securities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23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4. Mine Safety Disclosures</w:t>
              </w:r>
            </w:hyperlink>
          </w:p>
        </w:tc>
        <w:tc>
          <w:tcPr>
            <w:tcW w:w="540" w:type="dxa"/>
            <w:vAlign w:val="bottom"/>
            <w:tcBorders>
              <w:top w:val="single" w:sz="8" w:color="0000EE"/>
            </w:tcBorders>
          </w:tcPr>
          <w:p>
            <w:pPr>
              <w:spacing w:after="0"/>
              <w:rPr>
                <w:sz w:val="24"/>
                <w:szCs w:val="24"/>
                <w:color w:val="auto"/>
              </w:rPr>
            </w:pPr>
          </w:p>
        </w:tc>
        <w:tc>
          <w:tcPr>
            <w:tcW w:w="7520" w:type="dxa"/>
            <w:vAlign w:val="bottom"/>
            <w:gridSpan w:val="14"/>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1880" w:type="dxa"/>
            <w:vAlign w:val="bottom"/>
            <w:tcBorders>
              <w:bottom w:val="single" w:sz="8" w:color="0000EE"/>
            </w:tcBorders>
            <w:gridSpan w:val="7"/>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Item 5. Other Information</w:t>
              </w:r>
            </w:hyperlink>
          </w:p>
        </w:tc>
        <w:tc>
          <w:tcPr>
            <w:tcW w:w="8520" w:type="dxa"/>
            <w:vAlign w:val="bottom"/>
            <w:gridSpan w:val="18"/>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412"/>
        </w:trPr>
        <w:tc>
          <w:tcPr>
            <w:tcW w:w="10400" w:type="dxa"/>
            <w:vAlign w:val="bottom"/>
            <w:gridSpan w:val="25"/>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Item 6. Exhibits</w:t>
              </w:r>
            </w:hyperlink>
          </w:p>
        </w:tc>
        <w:tc>
          <w:tcPr>
            <w:tcW w:w="10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412"/>
        </w:trPr>
        <w:tc>
          <w:tcPr>
            <w:tcW w:w="1160" w:type="dxa"/>
            <w:vAlign w:val="bottom"/>
            <w:tcBorders>
              <w:top w:val="single" w:sz="8" w:color="0000EE"/>
            </w:tcBorders>
            <w:gridSpan w:val="4"/>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Signatures</w:t>
              </w:r>
            </w:hyperlink>
          </w:p>
        </w:tc>
        <w:tc>
          <w:tcPr>
            <w:tcW w:w="9240" w:type="dxa"/>
            <w:vAlign w:val="bottom"/>
            <w:gridSpan w:val="21"/>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53"/>
        </w:trPr>
        <w:tc>
          <w:tcPr>
            <w:tcW w:w="4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520" w:type="dxa"/>
            <w:vAlign w:val="bottom"/>
            <w:gridSpan w:val="14"/>
          </w:tcPr>
          <w:p>
            <w:pPr>
              <w:jc w:val="center"/>
              <w:ind w:right="1860"/>
              <w:spacing w:after="0"/>
              <w:rPr>
                <w:sz w:val="20"/>
                <w:szCs w:val="20"/>
                <w:color w:val="auto"/>
              </w:rPr>
            </w:pPr>
            <w:r>
              <w:rPr>
                <w:rFonts w:ascii="Arial" w:cs="Arial" w:eastAsia="Arial" w:hAnsi="Arial"/>
                <w:sz w:val="18"/>
                <w:szCs w:val="18"/>
                <w:b w:val="1"/>
                <w:bCs w:val="1"/>
                <w:color w:val="auto"/>
                <w:w w:val="90"/>
              </w:rPr>
              <w:t>Special Note Regarding Forward-Looking Statements</w:t>
            </w:r>
          </w:p>
        </w:tc>
        <w:tc>
          <w:tcPr>
            <w:tcW w:w="1020" w:type="dxa"/>
            <w:vAlign w:val="bottom"/>
          </w:tcPr>
          <w:p>
            <w:pPr>
              <w:spacing w:after="0"/>
              <w:rPr>
                <w:sz w:val="24"/>
                <w:szCs w:val="24"/>
                <w:color w:val="auto"/>
              </w:rPr>
            </w:pPr>
          </w:p>
        </w:tc>
      </w:tr>
    </w:tbl>
    <w:p>
      <w:pPr>
        <w:spacing w:after="0" w:line="20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7"/>
          <w:szCs w:val="17"/>
          <w:color w:val="auto"/>
        </w:rPr>
        <w:t>This Quarterly Report on Form 10-Q contains forward-looking statements that involve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These forward-looking statements include, but are not limited to, statements about our financial performance, and are subject to a number of risks, uncertainties and assumptions, including those described in this Quarterly Report on Form 10-Q and in “Part I, Item 1A, Risk Factors” of our Annual Report on Form 10-K for the year ended December 31, 2017 or other filings that we make with the Securities and Exchange Commission, or SEC.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Quarterly Report on Form 10-Q may not occur and actual results could differ materially and adversely from those anticipated or implied in the forward-looking statements.</w:t>
      </w:r>
    </w:p>
    <w:p>
      <w:pPr>
        <w:spacing w:after="0" w:line="180"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You</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should read this Quarterly Report on Form 10-Q, and the documents that we reference herein and have filed with the SEC, with the understanding that our actual future results, levels of activity, performance, and events and circumstances may be materially different from what we expect. We undertake no obligation to update publicly any forward-looking statements for any reason after the date of this Quarterly Report on Form 10-Q to conform these statements to new information, actual results or to changes in our expectations, except as required by law.</w:t>
      </w:r>
    </w:p>
    <w:p>
      <w:pPr>
        <w:spacing w:after="0" w:line="171" w:lineRule="exact"/>
        <w:rPr>
          <w:sz w:val="20"/>
          <w:szCs w:val="20"/>
          <w:color w:val="auto"/>
        </w:rPr>
      </w:pPr>
    </w:p>
    <w:p>
      <w:pPr>
        <w:ind w:right="160" w:firstLine="648"/>
        <w:spacing w:after="0" w:line="308" w:lineRule="auto"/>
        <w:rPr>
          <w:sz w:val="20"/>
          <w:szCs w:val="20"/>
          <w:color w:val="auto"/>
        </w:rPr>
      </w:pPr>
      <w:r>
        <w:rPr>
          <w:rFonts w:ascii="Arial" w:cs="Arial" w:eastAsia="Arial" w:hAnsi="Arial"/>
          <w:sz w:val="17"/>
          <w:szCs w:val="17"/>
          <w:color w:val="auto"/>
        </w:rPr>
        <w:t>Unless the context otherwise requires, the terms “Quanterix,” the “Company,” “we,” “us” and “our” in this Quarterly Report on Form 10-Q refer to Quanterix Corporation. “Quanterix,” “Simoa,” “Simoa HD-1,” “SR-X,” “HD-1 Analyzer” and our logo are our trademarks. All other service marks,</w:t>
      </w:r>
    </w:p>
    <w:p>
      <w:pPr>
        <w:sectPr>
          <w:pgSz w:w="11900" w:h="16838" w:orient="portrait"/>
          <w:cols w:equalWidth="0" w:num="1">
            <w:col w:w="11420"/>
          </w:cols>
          <w:pgMar w:left="240" w:top="517" w:right="239" w:bottom="0" w:gutter="0" w:footer="0" w:header="0"/>
        </w:sectPr>
      </w:pPr>
    </w:p>
    <w:bookmarkStart w:id="2" w:name="page3"/>
    <w:bookmarkEnd w:id="2"/>
    <w:p>
      <w:pPr>
        <w:ind w:right="60"/>
        <w:spacing w:after="0" w:line="342" w:lineRule="auto"/>
        <w:rPr>
          <w:sz w:val="20"/>
          <w:szCs w:val="20"/>
          <w:color w:val="auto"/>
        </w:rPr>
      </w:pPr>
      <w:r>
        <w:rPr>
          <w:rFonts w:ascii="Arial" w:cs="Arial" w:eastAsia="Arial" w:hAnsi="Arial"/>
          <w:sz w:val="16"/>
          <w:szCs w:val="16"/>
          <w:color w:val="auto"/>
        </w:rPr>
        <w:t>trademarks and trade names appearing in this Quarterly Report on Form 10-Q are the property of their respective owners. We do not intend our use or display of other companies’ trade names, trademarks or service marks to imply a relationship with, or endorsement or sponsorship of us by, these other companies.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81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65,231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79,682</w:t>
            </w:r>
          </w:p>
        </w:tc>
        <w:tc>
          <w:tcPr>
            <w:tcW w:w="80" w:type="dxa"/>
            <w:vAlign w:val="bottom"/>
            <w:shd w:val="clear" w:color="auto" w:fill="CCEEFF"/>
          </w:tcPr>
          <w:p>
            <w:pPr>
              <w:spacing w:after="0"/>
              <w:rPr>
                <w:sz w:val="18"/>
                <w:szCs w:val="18"/>
                <w:color w:val="auto"/>
              </w:rPr>
            </w:pPr>
          </w:p>
        </w:tc>
      </w:tr>
      <w:tr>
        <w:trPr>
          <w:trHeight w:val="202"/>
        </w:trPr>
        <w:tc>
          <w:tcPr>
            <w:tcW w:w="8140" w:type="dxa"/>
            <w:vAlign w:val="bottom"/>
          </w:tcPr>
          <w:p>
            <w:pPr>
              <w:ind w:left="200"/>
              <w:spacing w:after="0" w:line="201" w:lineRule="exact"/>
              <w:rPr>
                <w:sz w:val="20"/>
                <w:szCs w:val="20"/>
                <w:color w:val="auto"/>
              </w:rPr>
            </w:pPr>
            <w:r>
              <w:rPr>
                <w:rFonts w:ascii="Arial" w:cs="Arial" w:eastAsia="Arial" w:hAnsi="Arial"/>
                <w:sz w:val="18"/>
                <w:szCs w:val="18"/>
                <w:color w:val="auto"/>
                <w:w w:val="92"/>
              </w:rPr>
              <w:t>Accounts receivable (including $186 and $123 from related parties as of March 31, 2018 and December 31,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140" w:type="dxa"/>
            <w:vAlign w:val="bottom"/>
          </w:tcPr>
          <w:p>
            <w:pPr>
              <w:ind w:left="380"/>
              <w:spacing w:after="0"/>
              <w:rPr>
                <w:sz w:val="20"/>
                <w:szCs w:val="20"/>
                <w:color w:val="auto"/>
              </w:rPr>
            </w:pPr>
            <w:r>
              <w:rPr>
                <w:rFonts w:ascii="Arial" w:cs="Arial" w:eastAsia="Arial" w:hAnsi="Arial"/>
                <w:sz w:val="18"/>
                <w:szCs w:val="18"/>
                <w:color w:val="auto"/>
              </w:rPr>
              <w:t>2017,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4,661</w:t>
            </w: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5,599</w:t>
            </w:r>
          </w:p>
        </w:tc>
        <w:tc>
          <w:tcPr>
            <w:tcW w:w="80" w:type="dxa"/>
            <w:vAlign w:val="bottom"/>
          </w:tcPr>
          <w:p>
            <w:pPr>
              <w:spacing w:after="0"/>
              <w:rPr>
                <w:sz w:val="20"/>
                <w:szCs w:val="20"/>
                <w:color w:val="auto"/>
              </w:rPr>
            </w:pPr>
          </w:p>
        </w:tc>
      </w:tr>
      <w:tr>
        <w:trPr>
          <w:trHeight w:val="216"/>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5,332</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3,571</w:t>
            </w:r>
          </w:p>
        </w:tc>
        <w:tc>
          <w:tcPr>
            <w:tcW w:w="80" w:type="dxa"/>
            <w:vAlign w:val="bottom"/>
            <w:shd w:val="clear" w:color="auto" w:fill="CCEEFF"/>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1,393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400</w:t>
            </w:r>
          </w:p>
        </w:tc>
        <w:tc>
          <w:tcPr>
            <w:tcW w:w="80" w:type="dxa"/>
            <w:vAlign w:val="bottom"/>
          </w:tcPr>
          <w:p>
            <w:pPr>
              <w:spacing w:after="0"/>
              <w:rPr>
                <w:sz w:val="18"/>
                <w:szCs w:val="18"/>
                <w:color w:val="auto"/>
              </w:rPr>
            </w:pPr>
          </w:p>
        </w:tc>
      </w:tr>
      <w:tr>
        <w:trPr>
          <w:trHeight w:val="210"/>
        </w:trPr>
        <w:tc>
          <w:tcPr>
            <w:tcW w:w="81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76,617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2,234</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1,874</w:t>
            </w:r>
          </w:p>
        </w:tc>
        <w:tc>
          <w:tcPr>
            <w:tcW w:w="8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2,841</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1,308</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653</w:t>
            </w:r>
          </w:p>
        </w:tc>
        <w:tc>
          <w:tcPr>
            <w:tcW w:w="80" w:type="dxa"/>
            <w:vAlign w:val="bottom"/>
            <w:shd w:val="clear" w:color="auto" w:fill="CCEEFF"/>
          </w:tcPr>
          <w:p>
            <w:pPr>
              <w:spacing w:after="0"/>
              <w:rPr>
                <w:sz w:val="18"/>
                <w:szCs w:val="18"/>
                <w:color w:val="auto"/>
              </w:rPr>
            </w:pPr>
          </w:p>
        </w:tc>
      </w:tr>
      <w:tr>
        <w:trPr>
          <w:trHeight w:val="210"/>
        </w:trPr>
        <w:tc>
          <w:tcPr>
            <w:tcW w:w="81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83,683</w:t>
            </w:r>
          </w:p>
        </w:tc>
        <w:tc>
          <w:tcPr>
            <w:tcW w:w="2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91,779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8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2,963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3,552</w:t>
            </w:r>
          </w:p>
        </w:tc>
        <w:tc>
          <w:tcPr>
            <w:tcW w:w="80" w:type="dxa"/>
            <w:vAlign w:val="bottom"/>
            <w:shd w:val="clear" w:color="auto" w:fill="CCEEFF"/>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Arial" w:cs="Arial" w:eastAsia="Arial" w:hAnsi="Arial"/>
                <w:sz w:val="18"/>
                <w:szCs w:val="18"/>
                <w:color w:val="auto"/>
              </w:rPr>
              <w:t>Accrued compensation and benefits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1,942</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2,624</w:t>
            </w:r>
          </w:p>
        </w:tc>
        <w:tc>
          <w:tcPr>
            <w:tcW w:w="80" w:type="dxa"/>
            <w:vAlign w:val="bottom"/>
          </w:tcPr>
          <w:p>
            <w:pPr>
              <w:spacing w:after="0"/>
              <w:rPr>
                <w:sz w:val="18"/>
                <w:szCs w:val="18"/>
                <w:color w:val="auto"/>
              </w:rPr>
            </w:pPr>
          </w:p>
        </w:tc>
      </w:tr>
      <w:tr>
        <w:trPr>
          <w:trHeight w:val="202"/>
        </w:trPr>
        <w:tc>
          <w:tcPr>
            <w:tcW w:w="814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Other accrued expenses (including $125 and $170 to related parties as of March 31, 2018 and December 31,</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1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2017, respectively)</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3,580</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3,560</w:t>
            </w:r>
          </w:p>
        </w:tc>
        <w:tc>
          <w:tcPr>
            <w:tcW w:w="80" w:type="dxa"/>
            <w:vAlign w:val="bottom"/>
            <w:shd w:val="clear" w:color="auto" w:fill="CCEEFF"/>
          </w:tcPr>
          <w:p>
            <w:pPr>
              <w:spacing w:after="0"/>
              <w:rPr>
                <w:sz w:val="20"/>
                <w:szCs w:val="20"/>
                <w:color w:val="auto"/>
              </w:rPr>
            </w:pPr>
          </w:p>
        </w:tc>
      </w:tr>
      <w:tr>
        <w:trPr>
          <w:trHeight w:val="202"/>
        </w:trPr>
        <w:tc>
          <w:tcPr>
            <w:tcW w:w="8140" w:type="dxa"/>
            <w:vAlign w:val="bottom"/>
          </w:tcPr>
          <w:p>
            <w:pPr>
              <w:ind w:left="200"/>
              <w:spacing w:after="0" w:line="201" w:lineRule="exact"/>
              <w:rPr>
                <w:sz w:val="20"/>
                <w:szCs w:val="20"/>
                <w:color w:val="auto"/>
              </w:rPr>
            </w:pPr>
            <w:r>
              <w:rPr>
                <w:rFonts w:ascii="Arial" w:cs="Arial" w:eastAsia="Arial" w:hAnsi="Arial"/>
                <w:sz w:val="18"/>
                <w:szCs w:val="18"/>
                <w:color w:val="auto"/>
                <w:w w:val="92"/>
              </w:rPr>
              <w:t>Deferred revenue (including $1,175 and $1,182 with related parties as of March 31, 2018 and December 31,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140" w:type="dxa"/>
            <w:vAlign w:val="bottom"/>
          </w:tcPr>
          <w:p>
            <w:pPr>
              <w:ind w:left="380"/>
              <w:spacing w:after="0"/>
              <w:rPr>
                <w:sz w:val="20"/>
                <w:szCs w:val="20"/>
                <w:color w:val="auto"/>
              </w:rPr>
            </w:pPr>
            <w:r>
              <w:rPr>
                <w:rFonts w:ascii="Arial" w:cs="Arial" w:eastAsia="Arial" w:hAnsi="Arial"/>
                <w:sz w:val="18"/>
                <w:szCs w:val="18"/>
                <w:color w:val="auto"/>
              </w:rPr>
              <w:t>2017,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5,842</w:t>
            </w: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4,942</w:t>
            </w:r>
          </w:p>
        </w:tc>
        <w:tc>
          <w:tcPr>
            <w:tcW w:w="80" w:type="dxa"/>
            <w:vAlign w:val="bottom"/>
          </w:tcPr>
          <w:p>
            <w:pPr>
              <w:spacing w:after="0"/>
              <w:rPr>
                <w:sz w:val="20"/>
                <w:szCs w:val="20"/>
                <w:color w:val="auto"/>
              </w:rPr>
            </w:pPr>
          </w:p>
        </w:tc>
      </w:tr>
      <w:tr>
        <w:trPr>
          <w:trHeight w:val="216"/>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 term debt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8,463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5,036</w:t>
            </w:r>
          </w:p>
        </w:tc>
        <w:tc>
          <w:tcPr>
            <w:tcW w:w="80" w:type="dxa"/>
            <w:vAlign w:val="bottom"/>
            <w:shd w:val="clear" w:color="auto" w:fill="CCEEFF"/>
          </w:tcPr>
          <w:p>
            <w:pPr>
              <w:spacing w:after="0"/>
              <w:rPr>
                <w:sz w:val="18"/>
                <w:szCs w:val="18"/>
                <w:color w:val="auto"/>
              </w:rPr>
            </w:pPr>
          </w:p>
        </w:tc>
      </w:tr>
      <w:tr>
        <w:trPr>
          <w:trHeight w:val="210"/>
        </w:trPr>
        <w:tc>
          <w:tcPr>
            <w:tcW w:w="814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22,790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19,714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2"/>
        </w:trPr>
        <w:tc>
          <w:tcPr>
            <w:tcW w:w="8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Deferred revenue, net of current portion (including $807 and $1,074 with related parties as of March 31, 2018</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December 31, 2017, respectively)</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1,434</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1,709</w:t>
            </w:r>
          </w:p>
        </w:tc>
        <w:tc>
          <w:tcPr>
            <w:tcW w:w="80" w:type="dxa"/>
            <w:vAlign w:val="bottom"/>
            <w:shd w:val="clear" w:color="auto" w:fill="CCEEFF"/>
          </w:tcPr>
          <w:p>
            <w:pPr>
              <w:spacing w:after="0"/>
              <w:rPr>
                <w:sz w:val="20"/>
                <w:szCs w:val="20"/>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Long term debt, net of current portion</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4,346</w:t>
            </w:r>
          </w:p>
        </w:tc>
        <w:tc>
          <w:tcPr>
            <w:tcW w:w="8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144</w:t>
            </w:r>
          </w:p>
        </w:tc>
        <w:tc>
          <w:tcPr>
            <w:tcW w:w="80" w:type="dxa"/>
            <w:vAlign w:val="bottom"/>
            <w:shd w:val="clear" w:color="auto" w:fill="CCEEFF"/>
          </w:tcPr>
          <w:p>
            <w:pPr>
              <w:spacing w:after="0"/>
              <w:rPr>
                <w:sz w:val="18"/>
                <w:szCs w:val="18"/>
                <w:color w:val="auto"/>
              </w:rPr>
            </w:pPr>
          </w:p>
        </w:tc>
      </w:tr>
      <w:tr>
        <w:trPr>
          <w:trHeight w:val="210"/>
        </w:trPr>
        <w:tc>
          <w:tcPr>
            <w:tcW w:w="814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24,352</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w:t>
            </w:r>
            <w:r>
              <w:rPr>
                <w:rFonts w:ascii="Arial" w:cs="Arial" w:eastAsia="Arial" w:hAnsi="Arial"/>
                <w:sz w:val="18"/>
                <w:szCs w:val="18"/>
                <w:i w:val="1"/>
                <w:iCs w:val="1"/>
                <w:color w:val="auto"/>
              </w:rPr>
              <w:t>Note 9</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40" w:type="dxa"/>
            <w:vAlign w:val="bottom"/>
          </w:tcPr>
          <w:p>
            <w:pPr>
              <w:spacing w:after="0"/>
              <w:rPr>
                <w:sz w:val="20"/>
                <w:szCs w:val="20"/>
                <w:color w:val="auto"/>
              </w:rPr>
            </w:pPr>
            <w:r>
              <w:rPr>
                <w:rFonts w:ascii="Arial" w:cs="Arial" w:eastAsia="Arial" w:hAnsi="Arial"/>
                <w:sz w:val="18"/>
                <w:szCs w:val="18"/>
                <w:color w:val="auto"/>
              </w:rPr>
              <w:t>Stockholders’ equity:</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$0.001 par value: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140" w:type="dxa"/>
            <w:vAlign w:val="bottom"/>
          </w:tcPr>
          <w:p>
            <w:pPr>
              <w:ind w:left="380"/>
              <w:spacing w:after="0" w:line="201" w:lineRule="exact"/>
              <w:rPr>
                <w:sz w:val="20"/>
                <w:szCs w:val="20"/>
                <w:color w:val="auto"/>
              </w:rPr>
            </w:pPr>
            <w:r>
              <w:rPr>
                <w:rFonts w:ascii="Arial" w:cs="Arial" w:eastAsia="Arial" w:hAnsi="Arial"/>
                <w:sz w:val="18"/>
                <w:szCs w:val="18"/>
                <w:color w:val="auto"/>
                <w:w w:val="98"/>
              </w:rPr>
              <w:t>Authorized—5,000,000 shares as of March 31, 2018 and December 31, 2017; no shares issued or</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140" w:type="dxa"/>
            <w:vAlign w:val="bottom"/>
          </w:tcPr>
          <w:p>
            <w:pPr>
              <w:ind w:left="560"/>
              <w:spacing w:after="0"/>
              <w:rPr>
                <w:sz w:val="20"/>
                <w:szCs w:val="20"/>
                <w:color w:val="auto"/>
              </w:rPr>
            </w:pPr>
            <w:r>
              <w:rPr>
                <w:rFonts w:ascii="Arial" w:cs="Arial" w:eastAsia="Arial" w:hAnsi="Arial"/>
                <w:sz w:val="18"/>
                <w:szCs w:val="18"/>
                <w:color w:val="auto"/>
              </w:rPr>
              <w:t>outstanding as of March 31, 2018 and December 31, 2017</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$0.001 par value:</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2"/>
        </w:trPr>
        <w:tc>
          <w:tcPr>
            <w:tcW w:w="8140" w:type="dxa"/>
            <w:vAlign w:val="bottom"/>
          </w:tcPr>
          <w:p>
            <w:pPr>
              <w:ind w:left="380"/>
              <w:spacing w:after="0" w:line="201" w:lineRule="exact"/>
              <w:rPr>
                <w:sz w:val="20"/>
                <w:szCs w:val="20"/>
                <w:color w:val="auto"/>
              </w:rPr>
            </w:pPr>
            <w:r>
              <w:rPr>
                <w:rFonts w:ascii="Arial" w:cs="Arial" w:eastAsia="Arial" w:hAnsi="Arial"/>
                <w:sz w:val="18"/>
                <w:szCs w:val="18"/>
                <w:color w:val="auto"/>
                <w:w w:val="93"/>
              </w:rPr>
              <w:t>Authorized—120,000,000 shares as of March 31, 2018 and December 31, 2017; issued and outstanding</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8140" w:type="dxa"/>
            <w:vAlign w:val="bottom"/>
          </w:tcPr>
          <w:p>
            <w:pPr>
              <w:ind w:left="560"/>
              <w:spacing w:after="0"/>
              <w:rPr>
                <w:sz w:val="20"/>
                <w:szCs w:val="20"/>
                <w:color w:val="auto"/>
              </w:rPr>
            </w:pPr>
            <w:r>
              <w:rPr>
                <w:rFonts w:ascii="Arial" w:cs="Arial" w:eastAsia="Arial" w:hAnsi="Arial"/>
                <w:sz w:val="18"/>
                <w:szCs w:val="18"/>
                <w:color w:val="auto"/>
                <w:w w:val="97"/>
              </w:rPr>
              <w:t>—21,823,282 and 21,707,041 shares as of March 31, 2018 and December 31, 2017, respectively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r>
      <w:tr>
        <w:trPr>
          <w:trHeight w:val="216"/>
        </w:trPr>
        <w:tc>
          <w:tcPr>
            <w:tcW w:w="81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210,863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210,196</w:t>
            </w:r>
          </w:p>
        </w:tc>
        <w:tc>
          <w:tcPr>
            <w:tcW w:w="80" w:type="dxa"/>
            <w:vAlign w:val="bottom"/>
            <w:shd w:val="clear" w:color="auto" w:fill="CCEEFF"/>
          </w:tcPr>
          <w:p>
            <w:pPr>
              <w:spacing w:after="0"/>
              <w:rPr>
                <w:sz w:val="18"/>
                <w:szCs w:val="18"/>
                <w:color w:val="auto"/>
              </w:rPr>
            </w:pPr>
          </w:p>
        </w:tc>
      </w:tr>
      <w:tr>
        <w:trPr>
          <w:trHeight w:val="216"/>
        </w:trPr>
        <w:tc>
          <w:tcPr>
            <w:tcW w:w="8140" w:type="dxa"/>
            <w:vAlign w:val="bottom"/>
          </w:tcPr>
          <w:p>
            <w:pPr>
              <w:ind w:left="20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(151,554)</w:t>
            </w:r>
          </w:p>
        </w:tc>
        <w:tc>
          <w:tcPr>
            <w:tcW w:w="180" w:type="dxa"/>
            <w:vAlign w:val="bottom"/>
          </w:tcPr>
          <w:p>
            <w:pPr>
              <w:spacing w:after="0"/>
              <w:rPr>
                <w:sz w:val="18"/>
                <w:szCs w:val="18"/>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(144,352)</w:t>
            </w:r>
          </w:p>
        </w:tc>
      </w:tr>
      <w:tr>
        <w:trPr>
          <w:trHeight w:val="210"/>
        </w:trPr>
        <w:tc>
          <w:tcPr>
            <w:tcW w:w="8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814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83,683</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4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182"/>
        </w:trPr>
        <w:tc>
          <w:tcPr>
            <w:tcW w:w="83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Product revenue (including related party activity of $93 and $83 for the three months ended March 31 2018 and</w:t>
            </w: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30"/>
        </w:trPr>
        <w:tc>
          <w:tcPr>
            <w:tcW w:w="8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2017, respectively)</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4,745</w:t>
            </w: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3,425</w:t>
            </w:r>
          </w:p>
        </w:tc>
      </w:tr>
    </w:tbl>
    <w:p>
      <w:pPr>
        <w:sectPr>
          <w:pgSz w:w="11900" w:h="16838" w:orient="portrait"/>
          <w:cols w:equalWidth="0" w:num="1">
            <w:col w:w="11420"/>
          </w:cols>
          <w:pgMar w:left="240" w:top="125" w:right="239" w:bottom="0" w:gutter="0" w:footer="0" w:header="0"/>
        </w:sectPr>
      </w:pPr>
    </w:p>
    <w:bookmarkStart w:id="3" w:name="page4"/>
    <w:bookmarkEnd w:id="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20"/>
                <w:szCs w:val="20"/>
                <w:color w:val="auto"/>
              </w:rPr>
            </w:pPr>
            <w:r>
              <w:rPr>
                <w:rFonts w:ascii="Arial" w:cs="Arial" w:eastAsia="Arial" w:hAnsi="Arial"/>
                <w:sz w:val="18"/>
                <w:szCs w:val="18"/>
                <w:color w:val="auto"/>
                <w:w w:val="94"/>
              </w:rPr>
              <w:t>Service and other revenue (including related party activity of $39 and $41 for the three months ended March 31</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1,644</w:t>
            </w:r>
          </w:p>
        </w:tc>
      </w:tr>
      <w:tr>
        <w:trPr>
          <w:trHeight w:val="230"/>
        </w:trPr>
        <w:tc>
          <w:tcPr>
            <w:tcW w:w="8400" w:type="dxa"/>
            <w:vAlign w:val="bottom"/>
          </w:tcPr>
          <w:p>
            <w:pPr>
              <w:ind w:left="180"/>
              <w:spacing w:after="0"/>
              <w:rPr>
                <w:sz w:val="20"/>
                <w:szCs w:val="20"/>
                <w:color w:val="auto"/>
              </w:rPr>
            </w:pPr>
            <w:r>
              <w:rPr>
                <w:rFonts w:ascii="Arial" w:cs="Arial" w:eastAsia="Arial" w:hAnsi="Arial"/>
                <w:sz w:val="18"/>
                <w:szCs w:val="18"/>
                <w:color w:val="auto"/>
              </w:rPr>
              <w:t>2018 and 2017, respectively)</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02"/>
        </w:trPr>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Collaboration and license revenue (including related party activity of $269 and $269 for the three months ended</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8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March 31 2018 and 2017, respectively)</w:t>
            </w:r>
          </w:p>
        </w:tc>
        <w:tc>
          <w:tcPr>
            <w:tcW w:w="3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269</w:t>
            </w:r>
          </w:p>
        </w:tc>
      </w:tr>
      <w:tr>
        <w:trPr>
          <w:trHeight w:val="210"/>
        </w:trPr>
        <w:tc>
          <w:tcPr>
            <w:tcW w:w="8400" w:type="dxa"/>
            <w:vAlign w:val="bottom"/>
          </w:tcPr>
          <w:p>
            <w:pPr>
              <w:spacing w:after="0"/>
              <w:rPr>
                <w:sz w:val="20"/>
                <w:szCs w:val="20"/>
                <w:color w:val="auto"/>
              </w:rPr>
            </w:pPr>
            <w:r>
              <w:rPr>
                <w:rFonts w:ascii="Arial" w:cs="Arial" w:eastAsia="Arial" w:hAnsi="Arial"/>
                <w:sz w:val="18"/>
                <w:szCs w:val="18"/>
                <w:color w:val="auto"/>
              </w:rPr>
              <w:t>Total revenue</w:t>
            </w:r>
          </w:p>
        </w:tc>
        <w:tc>
          <w:tcPr>
            <w:tcW w:w="3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160" w:type="dxa"/>
            <w:vAlign w:val="bottom"/>
          </w:tcPr>
          <w:p>
            <w:pPr>
              <w:spacing w:after="0"/>
              <w:rPr>
                <w:sz w:val="18"/>
                <w:szCs w:val="18"/>
                <w:color w:val="auto"/>
              </w:rPr>
            </w:pP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02"/>
        </w:trPr>
        <w:tc>
          <w:tcPr>
            <w:tcW w:w="8400" w:type="dxa"/>
            <w:vAlign w:val="bottom"/>
          </w:tcPr>
          <w:p>
            <w:pPr>
              <w:ind w:left="200"/>
              <w:spacing w:after="0" w:line="201" w:lineRule="exact"/>
              <w:rPr>
                <w:sz w:val="20"/>
                <w:szCs w:val="20"/>
                <w:color w:val="auto"/>
              </w:rPr>
            </w:pPr>
            <w:r>
              <w:rPr>
                <w:rFonts w:ascii="Arial" w:cs="Arial" w:eastAsia="Arial" w:hAnsi="Arial"/>
                <w:sz w:val="18"/>
                <w:szCs w:val="18"/>
                <w:color w:val="auto"/>
                <w:w w:val="94"/>
              </w:rPr>
              <w:t>Cost of product revenue (including related party activity of $76 and $56 for the three months ended March 31</w:t>
            </w: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8400" w:type="dxa"/>
            <w:vAlign w:val="bottom"/>
          </w:tcPr>
          <w:p>
            <w:pPr>
              <w:ind w:left="380"/>
              <w:spacing w:after="0"/>
              <w:rPr>
                <w:sz w:val="20"/>
                <w:szCs w:val="20"/>
                <w:color w:val="auto"/>
              </w:rPr>
            </w:pPr>
            <w:r>
              <w:rPr>
                <w:rFonts w:ascii="Arial" w:cs="Arial" w:eastAsia="Arial" w:hAnsi="Arial"/>
                <w:sz w:val="18"/>
                <w:szCs w:val="18"/>
                <w:color w:val="auto"/>
              </w:rPr>
              <w:t>2018 and 2017, respectively)</w:t>
            </w: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2,773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1,834</w:t>
            </w:r>
          </w:p>
        </w:tc>
      </w:tr>
      <w:tr>
        <w:trPr>
          <w:trHeight w:val="216"/>
        </w:trPr>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Cost of services and other revenue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1,144</w:t>
            </w:r>
          </w:p>
        </w:tc>
      </w:tr>
      <w:tr>
        <w:trPr>
          <w:trHeight w:val="216"/>
        </w:trPr>
        <w:tc>
          <w:tcPr>
            <w:tcW w:w="840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3,644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4,250</w:t>
            </w:r>
          </w:p>
        </w:tc>
      </w:tr>
      <w:tr>
        <w:trPr>
          <w:trHeight w:val="216"/>
        </w:trPr>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6,691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4,166</w:t>
            </w:r>
          </w:p>
        </w:tc>
      </w:tr>
      <w:tr>
        <w:trPr>
          <w:trHeight w:val="21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11,394</w:t>
            </w:r>
          </w:p>
        </w:tc>
        <w:tc>
          <w:tcPr>
            <w:tcW w:w="160" w:type="dxa"/>
            <w:vAlign w:val="bottom"/>
            <w:tcBorders>
              <w:bottom w:val="single" w:sz="8" w:color="CCEEFF"/>
            </w:tcBorders>
          </w:tcPr>
          <w:p>
            <w:pPr>
              <w:spacing w:after="0"/>
              <w:rPr>
                <w:sz w:val="18"/>
                <w:szCs w:val="18"/>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(6,056)</w:t>
            </w:r>
          </w:p>
        </w:tc>
        <w:tc>
          <w:tcPr>
            <w:tcW w:w="160" w:type="dxa"/>
            <w:vAlign w:val="bottom"/>
            <w:shd w:val="clear" w:color="auto" w:fill="CCEEFF"/>
          </w:tcPr>
          <w:p>
            <w:pPr>
              <w:spacing w:after="0"/>
              <w:rPr>
                <w:sz w:val="18"/>
                <w:szCs w:val="18"/>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Interest expense, net</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r>
      <w:tr>
        <w:trPr>
          <w:trHeight w:val="21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(6,391)</w:t>
            </w:r>
          </w:p>
        </w:tc>
        <w:tc>
          <w:tcPr>
            <w:tcW w:w="160" w:type="dxa"/>
            <w:vAlign w:val="bottom"/>
            <w:tcBorders>
              <w:bottom w:val="single" w:sz="8" w:color="CCEEFF"/>
            </w:tcBorders>
          </w:tcPr>
          <w:p>
            <w:pPr>
              <w:spacing w:after="0"/>
              <w:rPr>
                <w:sz w:val="18"/>
                <w:szCs w:val="18"/>
                <w:color w:val="auto"/>
              </w:rPr>
            </w:pPr>
          </w:p>
        </w:tc>
      </w:tr>
      <w:tr>
        <w:trPr>
          <w:trHeight w:val="196"/>
        </w:trPr>
        <w:tc>
          <w:tcPr>
            <w:tcW w:w="84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Reconciliation of net loss to net loss attributable to common stockholders:</w:t>
            </w:r>
          </w:p>
        </w:tc>
        <w:tc>
          <w:tcPr>
            <w:tcW w:w="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Net loss</w:t>
            </w:r>
          </w:p>
        </w:tc>
        <w:tc>
          <w:tcPr>
            <w:tcW w:w="5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(7,202)</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(6,391)</w:t>
            </w:r>
          </w:p>
        </w:tc>
      </w:tr>
      <w:tr>
        <w:trPr>
          <w:trHeight w:val="216"/>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Accretion of preferred stock to redemption value</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w:t>
            </w:r>
          </w:p>
        </w:tc>
      </w:tr>
      <w:tr>
        <w:trPr>
          <w:trHeight w:val="216"/>
        </w:trPr>
        <w:tc>
          <w:tcPr>
            <w:tcW w:w="8400" w:type="dxa"/>
            <w:vAlign w:val="bottom"/>
          </w:tcPr>
          <w:p>
            <w:pPr>
              <w:spacing w:after="0"/>
              <w:rPr>
                <w:sz w:val="20"/>
                <w:szCs w:val="20"/>
                <w:color w:val="auto"/>
              </w:rPr>
            </w:pPr>
            <w:r>
              <w:rPr>
                <w:rFonts w:ascii="Arial" w:cs="Arial" w:eastAsia="Arial" w:hAnsi="Arial"/>
                <w:sz w:val="18"/>
                <w:szCs w:val="18"/>
                <w:color w:val="auto"/>
              </w:rPr>
              <w:t>Accrued dividends on preferred stock</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w:t>
            </w:r>
          </w:p>
        </w:tc>
      </w:tr>
      <w:tr>
        <w:trPr>
          <w:trHeight w:val="210"/>
        </w:trPr>
        <w:tc>
          <w:tcPr>
            <w:tcW w:w="8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(7,497)</w:t>
            </w:r>
          </w:p>
        </w:tc>
        <w:tc>
          <w:tcPr>
            <w:tcW w:w="160" w:type="dxa"/>
            <w:vAlign w:val="bottom"/>
            <w:tcBorders>
              <w:top w:val="single" w:sz="8" w:color="CCEEFF"/>
            </w:tcBorders>
            <w:shd w:val="clear" w:color="auto" w:fill="CCEEFF"/>
          </w:tcPr>
          <w:p>
            <w:pPr>
              <w:spacing w:after="0"/>
              <w:rPr>
                <w:sz w:val="18"/>
                <w:szCs w:val="18"/>
                <w:color w:val="auto"/>
              </w:rPr>
            </w:pPr>
          </w:p>
        </w:tc>
      </w:tr>
      <w:tr>
        <w:trPr>
          <w:trHeight w:val="210"/>
        </w:trPr>
        <w:tc>
          <w:tcPr>
            <w:tcW w:w="8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60" w:type="dxa"/>
            <w:vAlign w:val="bottom"/>
            <w:tcBorders>
              <w:bottom w:val="single" w:sz="8" w:color="CCEEFF"/>
            </w:tcBorders>
          </w:tcPr>
          <w:p>
            <w:pPr>
              <w:spacing w:after="0"/>
              <w:rPr>
                <w:sz w:val="18"/>
                <w:szCs w:val="18"/>
                <w:color w:val="auto"/>
              </w:rPr>
            </w:pPr>
          </w:p>
        </w:tc>
      </w:tr>
      <w:tr>
        <w:trPr>
          <w:trHeight w:val="210"/>
        </w:trPr>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shares outstanding, basic and diluted</w:t>
            </w:r>
          </w:p>
        </w:tc>
        <w:tc>
          <w:tcPr>
            <w:tcW w:w="3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21,788,605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2,357,503</w:t>
            </w:r>
          </w:p>
        </w:tc>
        <w:tc>
          <w:tcPr>
            <w:tcW w:w="1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March 31,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Common</w:t>
            </w: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Common</w:t>
            </w: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Accumulated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448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stock</w:t>
            </w:r>
          </w:p>
        </w:tc>
        <w:tc>
          <w:tcPr>
            <w:tcW w:w="200" w:type="dxa"/>
            <w:vAlign w:val="bottom"/>
          </w:tcPr>
          <w:p>
            <w:pPr>
              <w:spacing w:after="0"/>
              <w:rPr>
                <w:sz w:val="12"/>
                <w:szCs w:val="12"/>
                <w:color w:val="auto"/>
              </w:rPr>
            </w:pPr>
          </w:p>
        </w:tc>
        <w:tc>
          <w:tcPr>
            <w:tcW w:w="12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stock</w:t>
            </w:r>
          </w:p>
        </w:tc>
        <w:tc>
          <w:tcPr>
            <w:tcW w:w="16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paid-in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448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4"/>
              </w:rPr>
              <w:t>shares</w:t>
            </w: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value</w:t>
            </w:r>
          </w:p>
        </w:tc>
        <w:tc>
          <w:tcPr>
            <w:tcW w:w="160" w:type="dxa"/>
            <w:vAlign w:val="bottom"/>
          </w:tcPr>
          <w:p>
            <w:pPr>
              <w:spacing w:after="0"/>
              <w:rPr>
                <w:sz w:val="14"/>
                <w:szCs w:val="14"/>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capital</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deficit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equity</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2017</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21,707,041</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210,196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(144,352)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65,866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Exercise of common stock warrants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16,718</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4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Exercise of common stock options and vesting of</w:t>
            </w: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restricted stock</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99,523</w:t>
            </w:r>
          </w:p>
        </w:tc>
        <w:tc>
          <w:tcPr>
            <w:tcW w:w="2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4480" w:type="dxa"/>
            <w:vAlign w:val="bottom"/>
          </w:tcPr>
          <w:p>
            <w:pPr>
              <w:ind w:left="200"/>
              <w:spacing w:after="0"/>
              <w:rPr>
                <w:sz w:val="20"/>
                <w:szCs w:val="20"/>
                <w:color w:val="auto"/>
              </w:rPr>
            </w:pPr>
            <w:r>
              <w:rPr>
                <w:rFonts w:ascii="Arial" w:cs="Arial" w:eastAsia="Arial" w:hAnsi="Arial"/>
                <w:sz w:val="18"/>
                <w:szCs w:val="18"/>
                <w:color w:val="auto"/>
              </w:rPr>
              <w:t>Common stock issuance offering costs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(7,202)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(7,202)</w:t>
            </w:r>
          </w:p>
        </w:tc>
        <w:tc>
          <w:tcPr>
            <w:tcW w:w="0" w:type="dxa"/>
            <w:vAlign w:val="bottom"/>
          </w:tcPr>
          <w:p>
            <w:pPr>
              <w:spacing w:after="0"/>
              <w:rPr>
                <w:sz w:val="1"/>
                <w:szCs w:val="1"/>
                <w:color w:val="auto"/>
              </w:rPr>
            </w:pP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2018</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21,823,282</w:t>
            </w:r>
          </w:p>
        </w:tc>
        <w:tc>
          <w:tcPr>
            <w:tcW w:w="3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210,863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(151,554)</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59,331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p>
      <w:pPr>
        <w:jc w:val="center"/>
        <w:ind w:left="8540"/>
        <w:spacing w:after="0"/>
        <w:rPr>
          <w:sz w:val="20"/>
          <w:szCs w:val="20"/>
          <w:color w:val="auto"/>
        </w:rPr>
      </w:pPr>
      <w:r>
        <w:rPr>
          <w:rFonts w:ascii="Arial" w:cs="Arial" w:eastAsia="Arial" w:hAnsi="Arial"/>
          <w:sz w:val="14"/>
          <w:szCs w:val="14"/>
          <w:b w:val="1"/>
          <w:bCs w:val="1"/>
          <w:color w:val="auto"/>
        </w:rPr>
        <w:t>Three months ended</w:t>
      </w:r>
    </w:p>
    <w:p>
      <w:pPr>
        <w:jc w:val="center"/>
        <w:ind w:left="85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742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r>
      <w:tr>
        <w:trPr>
          <w:trHeight w:val="196"/>
        </w:trPr>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420" w:type="dxa"/>
            <w:vAlign w:val="bottom"/>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(7,202)</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(6,391)</w:t>
            </w:r>
          </w:p>
        </w:tc>
      </w:tr>
      <w:tr>
        <w:trPr>
          <w:trHeight w:val="216"/>
        </w:trPr>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420" w:type="dxa"/>
            <w:vAlign w:val="bottom"/>
          </w:tcPr>
          <w:p>
            <w:pPr>
              <w:ind w:left="200"/>
              <w:spacing w:after="0"/>
              <w:rPr>
                <w:sz w:val="20"/>
                <w:szCs w:val="20"/>
                <w:color w:val="auto"/>
              </w:rPr>
            </w:pPr>
            <w:r>
              <w:rPr>
                <w:rFonts w:ascii="Arial" w:cs="Arial" w:eastAsia="Arial" w:hAnsi="Arial"/>
                <w:sz w:val="18"/>
                <w:szCs w:val="18"/>
                <w:color w:val="auto"/>
              </w:rPr>
              <w:t>Depreciation and amortization expense</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104</w:t>
            </w:r>
          </w:p>
        </w:tc>
      </w:tr>
      <w:tr>
        <w:trPr>
          <w:trHeight w:val="216"/>
        </w:trPr>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w:t>
            </w:r>
          </w:p>
        </w:tc>
      </w:tr>
      <w:tr>
        <w:trPr>
          <w:trHeight w:val="216"/>
        </w:trPr>
        <w:tc>
          <w:tcPr>
            <w:tcW w:w="7420" w:type="dxa"/>
            <w:vAlign w:val="bottom"/>
          </w:tcPr>
          <w:p>
            <w:pPr>
              <w:ind w:left="200"/>
              <w:spacing w:after="0"/>
              <w:rPr>
                <w:sz w:val="20"/>
                <w:szCs w:val="20"/>
                <w:color w:val="auto"/>
              </w:rPr>
            </w:pPr>
            <w:r>
              <w:rPr>
                <w:rFonts w:ascii="Arial" w:cs="Arial" w:eastAsia="Arial" w:hAnsi="Arial"/>
                <w:sz w:val="18"/>
                <w:szCs w:val="18"/>
                <w:color w:val="auto"/>
              </w:rPr>
              <w:t>Non-cash interest expense</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75</w:t>
            </w:r>
          </w:p>
        </w:tc>
      </w:tr>
      <w:tr>
        <w:trPr>
          <w:trHeight w:val="216"/>
        </w:trPr>
        <w:tc>
          <w:tcPr>
            <w:tcW w:w="7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fair value of preferred stock warrants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r>
      <w:tr>
        <w:trPr>
          <w:trHeight w:val="216"/>
        </w:trPr>
        <w:tc>
          <w:tcPr>
            <w:tcW w:w="742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264</w:t>
            </w:r>
          </w:p>
        </w:tc>
      </w:tr>
      <w:tr>
        <w:trPr>
          <w:trHeight w:val="216"/>
        </w:trPr>
        <w:tc>
          <w:tcPr>
            <w:tcW w:w="7420" w:type="dxa"/>
            <w:vAlign w:val="bottom"/>
          </w:tcPr>
          <w:p>
            <w:pPr>
              <w:ind w:left="380"/>
              <w:spacing w:after="0"/>
              <w:rPr>
                <w:sz w:val="20"/>
                <w:szCs w:val="20"/>
                <w:color w:val="auto"/>
              </w:rPr>
            </w:pPr>
            <w:r>
              <w:rPr>
                <w:rFonts w:ascii="Arial" w:cs="Arial" w:eastAsia="Arial" w:hAnsi="Arial"/>
                <w:sz w:val="18"/>
                <w:szCs w:val="18"/>
                <w:color w:val="auto"/>
              </w:rPr>
              <w:t>Prepaid expenses and other assets</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(923)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(253)</w:t>
            </w:r>
          </w:p>
        </w:tc>
      </w:tr>
      <w:tr>
        <w:trPr>
          <w:trHeight w:val="216"/>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Inventory</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r>
      <w:tr>
        <w:trPr>
          <w:trHeight w:val="216"/>
        </w:trPr>
        <w:tc>
          <w:tcPr>
            <w:tcW w:w="742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r>
      <w:tr>
        <w:trPr>
          <w:trHeight w:val="216"/>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Accrued compensation and benefits, other accrued expenses and other liabilities</w:t>
            </w:r>
          </w:p>
        </w:tc>
        <w:tc>
          <w:tcPr>
            <w:tcW w:w="1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411</w:t>
            </w:r>
          </w:p>
        </w:tc>
      </w:tr>
    </w:tbl>
    <w:p>
      <w:pPr>
        <w:sectPr>
          <w:pgSz w:w="11900" w:h="16857" w:orient="portrait"/>
          <w:cols w:equalWidth="0" w:num="1">
            <w:col w:w="11420"/>
          </w:cols>
          <w:pgMar w:left="240" w:top="125"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(531)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2,051</w:t>
            </w: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60" w:type="dxa"/>
            <w:vAlign w:val="bottom"/>
            <w:tcBorders>
              <w:top w:val="single" w:sz="8" w:color="CCEEFF"/>
            </w:tcBorders>
            <w:shd w:val="clear" w:color="auto" w:fill="CCEEFF"/>
          </w:tcPr>
          <w:p>
            <w:pPr>
              <w:spacing w:after="0"/>
              <w:rPr>
                <w:sz w:val="18"/>
                <w:szCs w:val="18"/>
                <w:color w:val="auto"/>
              </w:rPr>
            </w:pPr>
          </w:p>
        </w:tc>
      </w:tr>
      <w:tr>
        <w:trPr>
          <w:trHeight w:val="196"/>
        </w:trPr>
        <w:tc>
          <w:tcPr>
            <w:tcW w:w="7220" w:type="dxa"/>
            <w:vAlign w:val="bottom"/>
          </w:tcPr>
          <w:p>
            <w:pPr>
              <w:spacing w:after="0" w:line="196" w:lineRule="exact"/>
              <w:rPr>
                <w:sz w:val="20"/>
                <w:szCs w:val="20"/>
                <w:color w:val="auto"/>
              </w:rPr>
            </w:pPr>
            <w:r>
              <w:rPr>
                <w:rFonts w:ascii="Arial" w:cs="Arial" w:eastAsia="Arial" w:hAnsi="Arial"/>
                <w:sz w:val="18"/>
                <w:szCs w:val="18"/>
                <w:b w:val="1"/>
                <w:bCs w:val="1"/>
                <w:color w:val="auto"/>
              </w:rPr>
              <w:t>Investing activities</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Purchases of property and equipment</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Acquisitions, net of cash acquired</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Borders>
              <w:top w:val="single" w:sz="8" w:color="CCEEFF"/>
            </w:tcBorders>
            <w:shd w:val="clear" w:color="auto" w:fill="CCEEFF"/>
          </w:tcPr>
          <w:p>
            <w:pPr>
              <w:spacing w:after="0"/>
              <w:rPr>
                <w:sz w:val="18"/>
                <w:szCs w:val="18"/>
                <w:color w:val="auto"/>
              </w:rPr>
            </w:pPr>
          </w:p>
        </w:tc>
      </w:tr>
      <w:tr>
        <w:trPr>
          <w:trHeight w:val="196"/>
        </w:trPr>
        <w:tc>
          <w:tcPr>
            <w:tcW w:w="7220" w:type="dxa"/>
            <w:vAlign w:val="bottom"/>
          </w:tcPr>
          <w:p>
            <w:pPr>
              <w:spacing w:after="0" w:line="196" w:lineRule="exact"/>
              <w:rPr>
                <w:sz w:val="20"/>
                <w:szCs w:val="20"/>
                <w:color w:val="auto"/>
              </w:rPr>
            </w:pPr>
            <w:r>
              <w:rPr>
                <w:rFonts w:ascii="Arial" w:cs="Arial" w:eastAsia="Arial" w:hAnsi="Arial"/>
                <w:sz w:val="18"/>
                <w:szCs w:val="18"/>
                <w:b w:val="1"/>
                <w:bCs w:val="1"/>
                <w:color w:val="auto"/>
              </w:rPr>
              <w:t>Financing activities</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common stock, net of issuance costs</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Proceeds from exercise of stock warrants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options exercised</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Proceeds from the issuance of notes payable and warrants, net of issuance costs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(59)</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Payments on notes payable</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(921)</w:t>
            </w:r>
          </w:p>
        </w:tc>
      </w:tr>
      <w:tr>
        <w:trPr>
          <w:trHeight w:val="210"/>
        </w:trPr>
        <w:tc>
          <w:tcPr>
            <w:tcW w:w="7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financing activities</w:t>
            </w:r>
          </w:p>
        </w:tc>
        <w:tc>
          <w:tcPr>
            <w:tcW w:w="14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(949)</w:t>
            </w:r>
          </w:p>
        </w:tc>
        <w:tc>
          <w:tcPr>
            <w:tcW w:w="160" w:type="dxa"/>
            <w:vAlign w:val="bottom"/>
            <w:tcBorders>
              <w:bottom w:val="single" w:sz="8" w:color="CCEEFF"/>
            </w:tcBorders>
          </w:tcPr>
          <w:p>
            <w:pPr>
              <w:spacing w:after="0"/>
              <w:rPr>
                <w:sz w:val="18"/>
                <w:szCs w:val="18"/>
                <w:color w:val="auto"/>
              </w:rPr>
            </w:pPr>
          </w:p>
        </w:tc>
      </w:tr>
      <w:tr>
        <w:trPr>
          <w:trHeight w:val="210"/>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60" w:type="dxa"/>
            <w:vAlign w:val="bottom"/>
            <w:shd w:val="clear" w:color="auto" w:fill="CCEEFF"/>
          </w:tcPr>
          <w:p>
            <w:pPr>
              <w:spacing w:after="0"/>
              <w:rPr>
                <w:sz w:val="18"/>
                <w:szCs w:val="18"/>
                <w:color w:val="auto"/>
              </w:rPr>
            </w:pP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79,682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29,671</w:t>
            </w:r>
          </w:p>
        </w:tc>
      </w:tr>
      <w:tr>
        <w:trPr>
          <w:trHeight w:val="210"/>
        </w:trPr>
        <w:tc>
          <w:tcPr>
            <w:tcW w:w="7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4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65,231</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24,563</w:t>
            </w:r>
          </w:p>
        </w:tc>
        <w:tc>
          <w:tcPr>
            <w:tcW w:w="160" w:type="dxa"/>
            <w:vAlign w:val="bottom"/>
            <w:tcBorders>
              <w:top w:val="single" w:sz="8" w:color="CCEEFF"/>
            </w:tcBorders>
            <w:shd w:val="clear" w:color="auto" w:fill="CCEEFF"/>
          </w:tcPr>
          <w:p>
            <w:pPr>
              <w:spacing w:after="0"/>
              <w:rPr>
                <w:sz w:val="18"/>
                <w:szCs w:val="18"/>
                <w:color w:val="auto"/>
              </w:rPr>
            </w:pPr>
          </w:p>
        </w:tc>
      </w:tr>
      <w:tr>
        <w:trPr>
          <w:trHeight w:val="196"/>
        </w:trPr>
        <w:tc>
          <w:tcPr>
            <w:tcW w:w="7220" w:type="dxa"/>
            <w:vAlign w:val="bottom"/>
          </w:tcPr>
          <w:p>
            <w:pPr>
              <w:spacing w:after="0" w:line="196" w:lineRule="exact"/>
              <w:rPr>
                <w:sz w:val="20"/>
                <w:szCs w:val="20"/>
                <w:color w:val="auto"/>
              </w:rPr>
            </w:pPr>
            <w:r>
              <w:rPr>
                <w:rFonts w:ascii="Arial" w:cs="Arial" w:eastAsia="Arial" w:hAnsi="Arial"/>
                <w:sz w:val="18"/>
                <w:szCs w:val="18"/>
                <w:b w:val="1"/>
                <w:bCs w:val="1"/>
                <w:color w:val="auto"/>
              </w:rPr>
              <w:t>Supplemental cash flow information</w:t>
            </w: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Accretion of redeemable convertible preferred stock to redemption value</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1,090</w:t>
            </w:r>
          </w:p>
        </w:tc>
      </w:tr>
      <w:tr>
        <w:trPr>
          <w:trHeight w:val="216"/>
        </w:trPr>
        <w:tc>
          <w:tcPr>
            <w:tcW w:w="7220" w:type="dxa"/>
            <w:vAlign w:val="bottom"/>
          </w:tcPr>
          <w:p>
            <w:pPr>
              <w:spacing w:after="0"/>
              <w:rPr>
                <w:sz w:val="20"/>
                <w:szCs w:val="20"/>
                <w:color w:val="auto"/>
              </w:rPr>
            </w:pPr>
            <w:r>
              <w:rPr>
                <w:rFonts w:ascii="Arial" w:cs="Arial" w:eastAsia="Arial" w:hAnsi="Arial"/>
                <w:sz w:val="18"/>
                <w:szCs w:val="18"/>
                <w:color w:val="auto"/>
              </w:rPr>
              <w:t>Cash paid for interest</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181</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190</w:t>
            </w:r>
          </w:p>
        </w:tc>
      </w:tr>
      <w:tr>
        <w:trPr>
          <w:trHeight w:val="216"/>
        </w:trPr>
        <w:tc>
          <w:tcPr>
            <w:tcW w:w="7220" w:type="dxa"/>
            <w:vAlign w:val="bottom"/>
            <w:shd w:val="clear" w:color="auto" w:fill="CCEEFF"/>
          </w:tcPr>
          <w:p>
            <w:pPr>
              <w:spacing w:after="0"/>
              <w:rPr>
                <w:sz w:val="20"/>
                <w:szCs w:val="20"/>
                <w:color w:val="auto"/>
              </w:rPr>
            </w:pPr>
            <w:r>
              <w:rPr>
                <w:rFonts w:ascii="Arial" w:cs="Arial" w:eastAsia="Arial" w:hAnsi="Arial"/>
                <w:sz w:val="18"/>
                <w:szCs w:val="18"/>
                <w:color w:val="auto"/>
              </w:rPr>
              <w:t>Warrants issued to lenders</w:t>
            </w:r>
          </w:p>
        </w:tc>
        <w:tc>
          <w:tcPr>
            <w:tcW w:w="18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w:t>
            </w:r>
          </w:p>
        </w:tc>
      </w:tr>
      <w:tr>
        <w:trPr>
          <w:trHeight w:val="230"/>
        </w:trPr>
        <w:tc>
          <w:tcPr>
            <w:tcW w:w="7220" w:type="dxa"/>
            <w:vAlign w:val="bottom"/>
          </w:tcPr>
          <w:p>
            <w:pPr>
              <w:spacing w:after="0"/>
              <w:rPr>
                <w:sz w:val="20"/>
                <w:szCs w:val="20"/>
                <w:color w:val="auto"/>
              </w:rPr>
            </w:pPr>
            <w:r>
              <w:rPr>
                <w:rFonts w:ascii="Arial" w:cs="Arial" w:eastAsia="Arial" w:hAnsi="Arial"/>
                <w:sz w:val="18"/>
                <w:szCs w:val="18"/>
                <w:color w:val="auto"/>
              </w:rPr>
              <w:t>Purchases of property and equipment included in accounts payable</w:t>
            </w:r>
          </w:p>
        </w:tc>
        <w:tc>
          <w:tcPr>
            <w:tcW w:w="182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79</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operations</w:t>
      </w:r>
    </w:p>
    <w:p>
      <w:pPr>
        <w:spacing w:after="0" w:line="229"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Quanterix Corporation (the Company) is a life sciences company that has developed a next generation, ultra-sensitive digital immunoassay platform that advances precision health for life sciences research and diagnostics. The Company’s platform enables customers to reliably detect protein biomarkers in extremely low concentrations in blood, serum and other fluids that, in many cases, are undetectable using conventional, analog immunoassay technologies. It also allows researchers to define and validate the function of novel protein biomarkers that are only present in very low concentrations and have been discovered using technologies such as mass spectrometry. These capabilities provide the Company’s customers with insight into the role of protein biomarkers in human health that has not been possible with other existing technologies and enable researchers to unlock unique insights into the continuum between health and disease. The Company is currently focusing its platform on protein detection and is also developing its Simoa technology to detect nucleic acids in biological samples.</w:t>
      </w:r>
    </w:p>
    <w:p>
      <w:pPr>
        <w:spacing w:after="0" w:line="192"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The Company currently markets the Simoa HD-1 Analyzer, a fully automated immunoassay platform with multiplexing and custom assay capability, and related assay test kits and consumable materials. The Company launched a second immunoassay platform (Quanterix SR-X) in the fourth quarter of 2017 with a more compact footprint than the Simoa HD-1 Analyzer and less automation designed for lower volume requirements while still allowing multiplexing and custom assay capability. The Company also performs research services on behalf of customers to apply the Simoa technology to specific customer needs. The Company’s primary customers are in the research use only market which includes academic and governmental research institutions, the research and development laboratories of pharmaceutical manufacturers, contract research organizations, and specialty research laboratories.</w:t>
      </w:r>
    </w:p>
    <w:p>
      <w:pPr>
        <w:spacing w:after="0" w:line="165" w:lineRule="exact"/>
        <w:rPr>
          <w:sz w:val="20"/>
          <w:szCs w:val="20"/>
          <w:color w:val="auto"/>
        </w:rPr>
      </w:pPr>
    </w:p>
    <w:p>
      <w:pPr>
        <w:ind w:right="620" w:firstLine="648"/>
        <w:spacing w:after="0" w:line="308" w:lineRule="auto"/>
        <w:rPr>
          <w:sz w:val="20"/>
          <w:szCs w:val="20"/>
          <w:color w:val="auto"/>
        </w:rPr>
      </w:pPr>
      <w:r>
        <w:rPr>
          <w:rFonts w:ascii="Arial" w:cs="Arial" w:eastAsia="Arial" w:hAnsi="Arial"/>
          <w:sz w:val="17"/>
          <w:szCs w:val="17"/>
          <w:color w:val="auto"/>
        </w:rPr>
        <w:t>The Company acquired Aushon Biosystems, Inc. (Aushon) and will market and sell Aushon developed instruments and biomarker assays. In addition, the Company plans to utilize the Aushon CLIA-certified laboratory to enhance the research service offering to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Initial Public Offering</w:t>
      </w:r>
    </w:p>
    <w:p>
      <w:pPr>
        <w:spacing w:after="0" w:line="225"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In December 2017, the Company completed its initial public offering (IPO) in which the Company sold 4,916,480 shares of its common stock at the initial public offering price of $15.00 per share. The Company’s common stock began trading on The Nasdaq Global Market on December 7, 2017. The aggregate net proceeds received from the IPO, net of underwriting discounts and commissions and offering expenses, was $65.6 million. Immediately prior to the completion of the IPO, all then outstanding shares of convertible preferred stock were converted into 14,185,744 shares of common stock. The related carrying value of shares of preferred stock and warrants in the aggregate amount of $143.3 million was reclassified as common stock and additional paid-in capital. Additionally, the Company filed an amended and restated certificate of incorporation with the Secretary of State of the State of Delaware, effective December 11, 2017 to, among other things, change the authorized number of shares of common stock to 120,000,000 and the authorized number of shares of preferred stock to 5,000,000.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The interim condensed consolidated financial statements are unaudited. The unaudited condensed consolidated financial statements reflect, in the opinion of our management, all adjustments, consisting of only normal recurring adjustments, necessary for a fair presentation of financial position, results of operations, comprehensive loss and cash flows for each period presented in accordance with United States generally accepted accounting principles (“GAAP”) for interim financial information and with the instructions to Form 10-Q and Article 10 of Regulation S-X. Accordingly, certain information and disclosures normally included in financial statements prepared in accordance with GAAP have been condensed or omitted. These interim condensed consolidated financial statements should be read in conjunction with the audited consolidated financial statements and related notes thereto included in our 2017 Annual Report on Form 10-K. The consolidated financial information as of December 31, 2017 has been derived from the audited 2017 consolidated financial statements included in our 2017 Annual Report on Form 10-K filed with the Securities and Exchange Commission on March 19, 2018.</w:t>
      </w:r>
    </w:p>
    <w:p>
      <w:pPr>
        <w:sectPr>
          <w:pgSz w:w="11900" w:h="16838" w:orient="portrait"/>
          <w:cols w:equalWidth="0" w:num="1">
            <w:col w:w="11420"/>
          </w:cols>
          <w:pgMar w:left="240" w:top="125" w:right="239" w:bottom="0" w:gutter="0" w:footer="0" w:header="0"/>
        </w:sectPr>
      </w:pPr>
    </w:p>
    <w:bookmarkStart w:id="5" w:name="page6"/>
    <w:bookmarkEnd w:id="5"/>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right="60" w:firstLine="648"/>
        <w:spacing w:after="0" w:line="286" w:lineRule="auto"/>
        <w:rPr>
          <w:sz w:val="20"/>
          <w:szCs w:val="20"/>
          <w:color w:val="auto"/>
        </w:rPr>
      </w:pPr>
      <w:r>
        <w:rPr>
          <w:rFonts w:ascii="Arial" w:cs="Arial" w:eastAsia="Arial" w:hAnsi="Arial"/>
          <w:sz w:val="17"/>
          <w:szCs w:val="17"/>
          <w:color w:val="auto"/>
        </w:rPr>
        <w:t>On December 4, 2017, the Company effected a reverse stock split of its common stock at a ratio of 1-for-3.214. The shares of common stock subject to then outstanding stock options were adjusted accordingly to reflect the reverse stock split. All common stock and related per share amounts presented in these financial statements and related notes have been retroactively adjusted to reflect the 1-for-3.214 reverse stock split.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8900" w:firstLine="8"/>
        <w:spacing w:after="0" w:line="604" w:lineRule="auto"/>
        <w:tabs>
          <w:tab w:leader="none" w:pos="18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Significant accounting policies Principles of consolidation</w:t>
      </w:r>
    </w:p>
    <w:p>
      <w:pPr>
        <w:ind w:right="20" w:firstLine="648"/>
        <w:spacing w:after="0" w:line="264" w:lineRule="auto"/>
        <w:rPr>
          <w:sz w:val="20"/>
          <w:szCs w:val="20"/>
          <w:color w:val="auto"/>
        </w:rPr>
      </w:pPr>
      <w:r>
        <w:rPr>
          <w:rFonts w:ascii="Arial" w:cs="Arial" w:eastAsia="Arial" w:hAnsi="Arial"/>
          <w:sz w:val="18"/>
          <w:szCs w:val="18"/>
          <w:color w:val="auto"/>
        </w:rPr>
        <w:t>The condensed consolidated financial statements have been prepared in accordance with accounting principles generally accepted in the United States of America (U.S. GAAP) and include the accounts of Quanterix Corporation and its wholly-owned subsidiaries. All material intercompany transactions and balances have been eliminated in consolidation.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preparation of consolidated financial statements in conformity with U.S. GAAP requires management to make estimates and assumptions that affect the amounts reported in the consolidated financial statements and accompanying notes. In making those estimates and assumptions, the Company bases its estimates on historical experience and on various other assumptions believed to be reasonable. The Company’s significant estimates included in the preparation of the consolidated financial statements are related to revenue recognition, fair value of equity instruments, fair value of assets acquired and liabilities assumed in acquisitions, valuation allowances recorded against deferred tax assets, and stock-based compensation. Actual results could differ from those estimates.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Under the acquisition method of accounting, the Company allocates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fair value of tangible and intangible assets, net of liabilities assumed, is recorded as goodwill. These valuations require significant estimates and assumptions, especially with respect to intangible assets.</w:t>
      </w:r>
    </w:p>
    <w:p>
      <w:pPr>
        <w:spacing w:after="0" w:line="15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is considered to be an “emerging growth company” as defined in the Jumpstart Our Business Startups Act of 2012, as amended (JOBS Act). The JOBS Act provides that an emerging growth company can take advantage of an extended transition period for complying with new or revised accounting standards. Thus, an emerging growth company can delay the adoption of certain accounting standards until those standards would otherwise apply to private companies. The Company has elected to avail itself of this extended transition period and, as a result, the Company will not be required to adopt new or revised accounting standards on the relevant dates on which adoption of such standards is required for other public companies so long as the Company remains an emerging growth company.</w:t>
      </w:r>
    </w:p>
    <w:p>
      <w:pPr>
        <w:spacing w:after="0" w:line="193"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(ASU 2014-09). The FASB has issued several updates to the standard which (i) clarify the application of the principal versus agent guidance; (ii) clarify the guidance relating to performance obligations and licensing; (iii) clarify assessment of the collectability criterion, presentation of sales taxes, measurement date for non-cash consideration and completed contracts at transaction; and (iv) clarify narrow aspects of ASC 606 or corrects unintended application of the guidance (collectively, the Revenue ASUs). The Revenue ASUs provide an accounting standard for a single comprehensive model for use in accounting for revenue arising from contracts with customers and supersedes most current revenue recognition guidance. Under Topic 606, an entity recognizes revenue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Topic 606, the entity performs the following five steps:</w:t>
      </w:r>
    </w:p>
    <w:p>
      <w:pPr>
        <w:spacing w:after="0" w:line="1" w:lineRule="exact"/>
        <w:rPr>
          <w:sz w:val="20"/>
          <w:szCs w:val="20"/>
          <w:color w:val="auto"/>
        </w:rPr>
      </w:pPr>
    </w:p>
    <w:p>
      <w:pPr>
        <w:ind w:right="280" w:firstLine="8"/>
        <w:spacing w:after="0" w:line="273" w:lineRule="auto"/>
        <w:tabs>
          <w:tab w:leader="none" w:pos="215" w:val="left"/>
        </w:tabs>
        <w:numPr>
          <w:ilvl w:val="0"/>
          <w:numId w:val="4"/>
        </w:numPr>
        <w:rPr>
          <w:rFonts w:ascii="Arial" w:cs="Arial" w:eastAsia="Arial" w:hAnsi="Arial"/>
          <w:sz w:val="17"/>
          <w:szCs w:val="17"/>
          <w:color w:val="auto"/>
        </w:rPr>
      </w:pPr>
      <w:r>
        <w:rPr>
          <w:rFonts w:ascii="Arial" w:cs="Arial" w:eastAsia="Arial" w:hAnsi="Arial"/>
          <w:sz w:val="17"/>
          <w:szCs w:val="17"/>
          <w:color w:val="auto"/>
        </w:rPr>
        <w:t>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Topic 606 also impacts certain other areas, such as the accounting for costs to obtain or fulfill a contract. The standard also requires disclosure of the nature, amount, timing, and uncertainty of revenue and cash flows arising from contracts with customers.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ectPr>
          <w:pgSz w:w="11900" w:h="16870" w:orient="portrait"/>
          <w:cols w:equalWidth="0" w:num="1">
            <w:col w:w="11420"/>
          </w:cols>
          <w:pgMar w:left="240" w:top="121" w:right="239" w:bottom="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 (continued)</w:t>
      </w:r>
    </w:p>
    <w:p>
      <w:pPr>
        <w:spacing w:after="0" w:line="229"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The accounting standard is effective for the Company for the year ended December 31, 2019 and for interim periods within such year. Early adoption is permitted. The guidance permits two methods of adoption: retrospectively to each prior reporting period presented (the full retrospective method), or retrospectively with the cumulative effect of initially applying the guidance recognized at the date of initial application (the modified retrospective method). The Company does not currently intend to early adopt the provisions of this accounting standard and currently intend to adopt the standard effective January 1, 2019. The Company is in the process of determining which adoption method will be utilized and assessing the effect of this accounting standard. The Company’s performance under the bioMérieux arrangement is not expected to be completed prior to the anticipated date of adoption on January 1, 2019, and the revenue recognition for this contract may be affected by Topic 606. The Company cannot predict at this time whether performance obligations under the arrangement with a diagnostic company will remain open at January 1, 2019.</w:t>
      </w:r>
    </w:p>
    <w:p>
      <w:pPr>
        <w:spacing w:after="0" w:line="179" w:lineRule="exact"/>
        <w:rPr>
          <w:sz w:val="20"/>
          <w:szCs w:val="20"/>
          <w:color w:val="auto"/>
        </w:rPr>
      </w:pPr>
    </w:p>
    <w:p>
      <w:pPr>
        <w:ind w:right="80" w:firstLine="648"/>
        <w:spacing w:after="0" w:line="271" w:lineRule="auto"/>
        <w:rPr>
          <w:sz w:val="20"/>
          <w:szCs w:val="20"/>
          <w:color w:val="auto"/>
        </w:rPr>
      </w:pPr>
      <w:r>
        <w:rPr>
          <w:rFonts w:ascii="Arial" w:cs="Arial" w:eastAsia="Arial" w:hAnsi="Arial"/>
          <w:sz w:val="17"/>
          <w:szCs w:val="17"/>
          <w:color w:val="auto"/>
        </w:rPr>
        <w:t xml:space="preserve">In February 2016, the FASB issued ASU No. 2016-02, Leases (Topic 842): </w:t>
      </w:r>
      <w:r>
        <w:rPr>
          <w:rFonts w:ascii="Arial" w:cs="Arial" w:eastAsia="Arial" w:hAnsi="Arial"/>
          <w:sz w:val="17"/>
          <w:szCs w:val="17"/>
          <w:i w:val="1"/>
          <w:iCs w:val="1"/>
          <w:color w:val="auto"/>
        </w:rPr>
        <w:t>Recognition and Measurement of Financial Assets and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Liabilities </w:t>
      </w:r>
      <w:r>
        <w:rPr>
          <w:rFonts w:ascii="Arial" w:cs="Arial" w:eastAsia="Arial" w:hAnsi="Arial"/>
          <w:sz w:val="17"/>
          <w:szCs w:val="17"/>
          <w:color w:val="auto"/>
        </w:rPr>
        <w:t>(ASU 2016-02). Under ASU 2016-02, lessees will be required to recognize a lease liability and a right-of-use asset for all leases (with the</w:t>
      </w:r>
      <w:r>
        <w:rPr>
          <w:rFonts w:ascii="Arial" w:cs="Arial" w:eastAsia="Arial" w:hAnsi="Arial"/>
          <w:sz w:val="17"/>
          <w:szCs w:val="17"/>
          <w:i w:val="1"/>
          <w:iCs w:val="1"/>
          <w:color w:val="auto"/>
        </w:rPr>
        <w:t xml:space="preserve"> </w:t>
      </w:r>
      <w:r>
        <w:rPr>
          <w:rFonts w:ascii="Arial" w:cs="Arial" w:eastAsia="Arial" w:hAnsi="Arial"/>
          <w:sz w:val="17"/>
          <w:szCs w:val="17"/>
          <w:color w:val="auto"/>
        </w:rPr>
        <w:t>exception of short term leases) at the commencement date. Lessor accounting under ASU 2016-02 is largely unchanged. ASU 2016-02 is effective for the Company for the year ending December 31, 2020. Early adoption is permitted. Under ASU 2016-02, lessees (for capital and operating leases) and lessors (for sales-type, direct financing and operating leases) must apply a modified retrospective transition approach for leases existing at, or entered into after, the beginning of the earliest comparative period presented in the financial statements. Lessees and lessors may not apply a full retrospective transition approach. The Company is currently evaluating the requirements of ASU 2016-02 and has not yet determined whether adoption of the standard will have a material impact on its consolidated financial statements.</w:t>
      </w:r>
    </w:p>
    <w:p>
      <w:pPr>
        <w:spacing w:after="0" w:line="17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other material changes to the significant accounting policies and recent accounting pronouncements previously disclosed in the 2017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w:t>
      </w:r>
    </w:p>
    <w:p>
      <w:pPr>
        <w:spacing w:after="0" w:line="229" w:lineRule="exact"/>
        <w:rPr>
          <w:sz w:val="20"/>
          <w:szCs w:val="20"/>
          <w:color w:val="auto"/>
        </w:rPr>
      </w:pPr>
    </w:p>
    <w:p>
      <w:pPr>
        <w:ind w:right="180" w:firstLine="648"/>
        <w:spacing w:after="0" w:line="273" w:lineRule="auto"/>
        <w:rPr>
          <w:sz w:val="20"/>
          <w:szCs w:val="20"/>
          <w:color w:val="auto"/>
        </w:rPr>
      </w:pPr>
      <w:r>
        <w:rPr>
          <w:rFonts w:ascii="Arial" w:cs="Arial" w:eastAsia="Arial" w:hAnsi="Arial"/>
          <w:sz w:val="17"/>
          <w:szCs w:val="17"/>
          <w:color w:val="auto"/>
        </w:rPr>
        <w:t>The Company recognizes revenue when (1) persuasive evidence of an arrangement exists, (2) shipment and installation, if applicable, has occurred or services have been rendered, (3) the price to the customer is fixed or determinable and (4) collection of the related receivable is reasonably assured. The Company primarily generates revenue from the sale of products and delivery of services, as well as under license and collaboration agreements. The Company’s product revenue includes the sale of instruments as well as assay kits and consumables which are used to perform tests on the instrument. The Company’s service revenue is generated from services performed in the Company’s Simoa Accelerator Lab under contracts to perform research services on behalf of customers and maintenance and support services.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revenue</w:t>
      </w:r>
    </w:p>
    <w:p>
      <w:pPr>
        <w:spacing w:after="0" w:line="22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Revenue for instrument sales is recognized upon installation at the customer’s location or upon transfer of title to the customer when installation is not required, which is generally the case with sales to distributors. In sales to end-customers, the Company provides the installation service and often payment is tied to the completion of the installation service. When installation is required, the Company accounts for the instrument and installation service as one unit of accounting and recognizes revenue when installation is completed, assuming all other revenue recognition criteria are met. Instrument transactions often have multiple elements, as discussed below. Included with the purchase of an instrument is a one-year assurance type product warranty assuring that the instrument is free of material defects and will function according to specifications. In addition, the sale of an instrument includes an implied warranty which is promised to the customer during the pre-sales process, at the time that the sales quote is issued to the customer. The implied warranty is provided over the same one-year period as the standard warranty. The services included in the implied warranty are the same as those included in the extended service contracts, and include two bi-annual preventative maintenance service visits, minor hardware updates and software upgrades, additional training and troubleshooting which is beyond the scope of the standard product warranty. The implied warranty has been identified by the Company as a separate deliverable and unit of accounting. Consideration allocated to the implied one year service type warranty is recognized over the one year period of performance as service and other revenue as described below. Consideration allocated to any other elements is recognized as the goods are delivered or the services are performed.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Service and other revenue</w:t>
      </w:r>
    </w:p>
    <w:p>
      <w:pPr>
        <w:spacing w:after="0" w:line="225" w:lineRule="exact"/>
        <w:rPr>
          <w:sz w:val="20"/>
          <w:szCs w:val="20"/>
          <w:color w:val="auto"/>
        </w:rPr>
      </w:pPr>
    </w:p>
    <w:p>
      <w:pPr>
        <w:ind w:right="80" w:firstLine="648"/>
        <w:spacing w:after="0" w:line="291" w:lineRule="auto"/>
        <w:rPr>
          <w:sz w:val="20"/>
          <w:szCs w:val="20"/>
          <w:color w:val="auto"/>
        </w:rPr>
      </w:pPr>
      <w:r>
        <w:rPr>
          <w:rFonts w:ascii="Arial" w:cs="Arial" w:eastAsia="Arial" w:hAnsi="Arial"/>
          <w:sz w:val="16"/>
          <w:szCs w:val="16"/>
          <w:color w:val="auto"/>
        </w:rPr>
        <w:t>Service revenue includes revenue from the implied one-year service type warranty obligation, revenue from extended service contracts, research services performed on behalf of a customer in the Company’s Simoa Accelerator Lab, and other services that may be performed. Revenue for the implied one-year service type warranty is initially deferred at the time of instrument revenue recognition and is recognized ratably over a 12-month period starting on the date of instrument installation. Revenue for extended warranty contracts is recognized ratably over the service period. Revenue for research and development services and other services is generally recognized based on proportional performance of the contract, when the Company’s ability to complete project requirements is reasonably assured. Most of these services are completed in a short period of time from the receipt of the customer’s order. When significant risk exists in the Company’s ability to fulfill project requirements, revenue is recognized upon completion of the contract.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Collaboration and license revenue</w:t>
      </w:r>
    </w:p>
    <w:p>
      <w:pPr>
        <w:spacing w:after="0" w:line="225"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Collaboration and license revenue relates to the Joint Development and License Agreement (JDLA) with bioMérieux SA (bioMérieux) as amended and restated in December 2016 by the Amended and Restated License Agreement (the 2016 Amendment) and the agreements with a diagnostics company.</w:t>
      </w:r>
    </w:p>
    <w:p>
      <w:pPr>
        <w:sectPr>
          <w:pgSz w:w="11900" w:h="16838" w:orient="portrait"/>
          <w:cols w:equalWidth="0" w:num="1">
            <w:col w:w="11420"/>
          </w:cols>
          <w:pgMar w:left="240" w:top="121" w:right="239" w:bottom="0" w:gutter="0" w:footer="0" w:header="0"/>
        </w:sectPr>
      </w:pPr>
    </w:p>
    <w:bookmarkStart w:id="7" w:name="page8"/>
    <w:bookmarkEnd w:id="7"/>
    <w:p>
      <w:pPr>
        <w:ind w:right="120"/>
        <w:spacing w:after="0" w:line="277" w:lineRule="auto"/>
        <w:rPr>
          <w:sz w:val="20"/>
          <w:szCs w:val="20"/>
          <w:color w:val="auto"/>
        </w:rPr>
      </w:pPr>
      <w:r>
        <w:rPr>
          <w:rFonts w:ascii="Arial" w:cs="Arial" w:eastAsia="Arial" w:hAnsi="Arial"/>
          <w:sz w:val="18"/>
          <w:szCs w:val="18"/>
          <w:color w:val="auto"/>
        </w:rPr>
        <w:t>Refer to Note 11 of the 2017 Annual Report on Form 10-K for a description of these arrangements and the Company’s revenue recognition policies for these agreements.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Multiple element arrangements</w:t>
      </w:r>
    </w:p>
    <w:p>
      <w:pPr>
        <w:spacing w:after="0" w:line="225"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Many of our instrument sales involve the delivery of multiple products and services. The elements of an instrument sale typically include the instrument installation (when required), an implied one year service type warranty, and in some cases the Company may also sell assays, consumables, or other services. Revenue recognition for contracts with multiple deliverables is based on the individual units of accounting determined to exist in the contract. A delivered item is considered a separate unit of accounting when the delivered item has value to the customer on a stand-alone basis. Items are considered to have stand-alone value when they are sold separately by any vendor or when the customer could resell the item on a stand-alone basis.</w:t>
      </w:r>
    </w:p>
    <w:p>
      <w:pPr>
        <w:spacing w:after="0" w:line="158"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The consideration received is allocated among the separate units of accounting using the relative selling price method, and the applicable revenue recognition criteria are applied to each of the separate units. The Company determines the estimated selling price for deliverables within the arrangement using vendor-specific objective evidence (VSOE) of selling price, if available. If VSOE is not available, the Company considers if third-party evidence is available. If third-party evidence of selling price or VSOE is not available, the Company uses its best estimate of selling price for the deliverable.</w:t>
      </w:r>
    </w:p>
    <w:p>
      <w:pPr>
        <w:spacing w:after="0" w:line="15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In order to establish VSOE of selling price, the Company must regularly sell the product or service on a standalone basis with a substantial majority priced within a relatively narrow range. If there are not a sufficient number of standalone sales such that VSOE of selling price cannot be determined, then the Company considers whether third party evidence can be used to establish selling price. Due to the lack of similar products and services sold by other companies within the industry, the Company has not established selling price using third-party evidence.</w:t>
      </w:r>
    </w:p>
    <w:p>
      <w:pPr>
        <w:spacing w:after="0" w:line="171"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For product and service sales, the Company determines its best estimate of selling price for instruments, consumables, services and assays using average selling prices over a rolling 12-month period coupled with an assessment of market conditions, as VSOE and third-party evidence cannot be established. The Company recognizes revenue for delivered elements only when it determines there are no uncertainties regarding customer acceptance.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Distributor transactions</w:t>
      </w:r>
    </w:p>
    <w:p>
      <w:pPr>
        <w:spacing w:after="0" w:line="225" w:lineRule="exact"/>
        <w:rPr>
          <w:sz w:val="20"/>
          <w:szCs w:val="20"/>
          <w:color w:val="auto"/>
        </w:rPr>
      </w:pPr>
    </w:p>
    <w:p>
      <w:pPr>
        <w:ind w:right="260" w:firstLine="648"/>
        <w:spacing w:after="0" w:line="297" w:lineRule="auto"/>
        <w:rPr>
          <w:sz w:val="20"/>
          <w:szCs w:val="20"/>
          <w:color w:val="auto"/>
        </w:rPr>
      </w:pPr>
      <w:r>
        <w:rPr>
          <w:rFonts w:ascii="Arial" w:cs="Arial" w:eastAsia="Arial" w:hAnsi="Arial"/>
          <w:sz w:val="16"/>
          <w:szCs w:val="16"/>
          <w:color w:val="auto"/>
        </w:rPr>
        <w:t>In certain markets, the Company sells products and provides services to customers through distributors that specialize in life sciences products. In cases where the product is delivered to a distributor, revenue recognition generally occurs when title transfers to the distributor. The terms of sales transactions through distributors are generally consistent with the terms of direct sales to customers, except the distributors do not require the Company’s services to install the instrument at the end customer and perform the services for the customer that are beyond our standard warranty in the first year following the sale. These transactions are accounted for in accordance with the Company’s revenue recognition policy described herein.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 recognition (continued)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Segment Information</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Operating segments are defined as components of an enterprise about which separate discrete information is available for evaluation by the chief operating decision-maker in deciding how to allocate resources and assess performance. The Company and the Company’s chief operating decision-maker reviews the Company’s operations and manages its business as a single operating segment.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 by product and service line are as follows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2660" w:type="dxa"/>
            <w:vAlign w:val="bottom"/>
            <w:gridSpan w:val="8"/>
          </w:tcPr>
          <w:p>
            <w:pPr>
              <w:ind w:left="32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760" w:type="dxa"/>
            <w:vAlign w:val="bottom"/>
            <w:tcBorders>
              <w:bottom w:val="single" w:sz="8" w:color="CCEEFF"/>
            </w:tcBorders>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Product revenue</w:t>
            </w:r>
          </w:p>
        </w:tc>
        <w:tc>
          <w:tcPr>
            <w:tcW w:w="3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Instrument and accessories</w:t>
            </w:r>
          </w:p>
        </w:tc>
        <w:tc>
          <w:tcPr>
            <w:tcW w:w="372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2,009</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1,786</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Consumable and other product</w:t>
            </w:r>
          </w:p>
        </w:tc>
        <w:tc>
          <w:tcPr>
            <w:tcW w:w="3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2,736</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1,639</w:t>
            </w:r>
          </w:p>
        </w:tc>
        <w:tc>
          <w:tcPr>
            <w:tcW w:w="80" w:type="dxa"/>
            <w:vAlign w:val="bottom"/>
            <w:shd w:val="clear" w:color="auto" w:fill="CCEEFF"/>
          </w:tcPr>
          <w:p>
            <w:pPr>
              <w:spacing w:after="0"/>
              <w:rPr>
                <w:sz w:val="18"/>
                <w:szCs w:val="18"/>
                <w:color w:val="auto"/>
              </w:rPr>
            </w:pPr>
          </w:p>
        </w:tc>
      </w:tr>
      <w:tr>
        <w:trPr>
          <w:trHeight w:val="210"/>
        </w:trPr>
        <w:tc>
          <w:tcPr>
            <w:tcW w:w="5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w:t>
            </w:r>
          </w:p>
        </w:tc>
        <w:tc>
          <w:tcPr>
            <w:tcW w:w="30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4,745</w:t>
            </w:r>
          </w:p>
        </w:tc>
        <w:tc>
          <w:tcPr>
            <w:tcW w:w="2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196"/>
        </w:trPr>
        <w:tc>
          <w:tcPr>
            <w:tcW w:w="57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Service and other revenue</w:t>
            </w:r>
          </w:p>
        </w:tc>
        <w:tc>
          <w:tcPr>
            <w:tcW w:w="3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760" w:type="dxa"/>
            <w:vAlign w:val="bottom"/>
          </w:tcPr>
          <w:p>
            <w:pPr>
              <w:ind w:left="200"/>
              <w:spacing w:after="0"/>
              <w:rPr>
                <w:sz w:val="20"/>
                <w:szCs w:val="20"/>
                <w:color w:val="auto"/>
              </w:rPr>
            </w:pPr>
            <w:r>
              <w:rPr>
                <w:rFonts w:ascii="Arial" w:cs="Arial" w:eastAsia="Arial" w:hAnsi="Arial"/>
                <w:sz w:val="18"/>
                <w:szCs w:val="18"/>
                <w:color w:val="auto"/>
              </w:rPr>
              <w:t>Accelerator and CLIA Lab services</w:t>
            </w:r>
          </w:p>
        </w:tc>
        <w:tc>
          <w:tcPr>
            <w:tcW w:w="3720" w:type="dxa"/>
            <w:vAlign w:val="bottom"/>
            <w:gridSpan w:val="2"/>
          </w:tcPr>
          <w:p>
            <w:pPr>
              <w:jc w:val="right"/>
              <w:ind w:right="567"/>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1,607</w:t>
            </w:r>
          </w:p>
        </w:tc>
        <w:tc>
          <w:tcPr>
            <w:tcW w:w="260" w:type="dxa"/>
            <w:vAlign w:val="bottom"/>
            <w:gridSpan w:val="2"/>
          </w:tcPr>
          <w:p>
            <w:pPr>
              <w:jc w:val="right"/>
              <w:ind w:right="130"/>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1,052</w:t>
            </w:r>
          </w:p>
        </w:tc>
        <w:tc>
          <w:tcPr>
            <w:tcW w:w="80" w:type="dxa"/>
            <w:vAlign w:val="bottom"/>
          </w:tcPr>
          <w:p>
            <w:pPr>
              <w:spacing w:after="0"/>
              <w:rPr>
                <w:sz w:val="18"/>
                <w:szCs w:val="18"/>
                <w:color w:val="auto"/>
              </w:rPr>
            </w:pPr>
          </w:p>
        </w:tc>
      </w:tr>
      <w:tr>
        <w:trPr>
          <w:trHeight w:val="216"/>
        </w:trPr>
        <w:tc>
          <w:tcPr>
            <w:tcW w:w="5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services</w:t>
            </w:r>
          </w:p>
        </w:tc>
        <w:tc>
          <w:tcPr>
            <w:tcW w:w="30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900</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592</w:t>
            </w:r>
          </w:p>
        </w:tc>
        <w:tc>
          <w:tcPr>
            <w:tcW w:w="80" w:type="dxa"/>
            <w:vAlign w:val="bottom"/>
            <w:shd w:val="clear" w:color="auto" w:fill="CCEEFF"/>
          </w:tcPr>
          <w:p>
            <w:pPr>
              <w:spacing w:after="0"/>
              <w:rPr>
                <w:sz w:val="18"/>
                <w:szCs w:val="18"/>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8"/>
                <w:szCs w:val="18"/>
                <w:color w:val="auto"/>
              </w:rPr>
              <w:t>Total</w:t>
            </w:r>
          </w:p>
        </w:tc>
        <w:tc>
          <w:tcPr>
            <w:tcW w:w="300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ind w:right="567"/>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2,507</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color w:val="auto"/>
        </w:rPr>
        <w:t>The following table reflects total revenue (in thousands) by geography and as a percentage of total revenue, based on the billing address of our customers. North America consists of the United States, Canada and Mexico; EMEA consists of Europe, Middle East, and Africa; and Asia Pacific includes Japan, China, South Korea, Singapore, Malaysia and Australia.</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7"/>
          </w:tcPr>
          <w:p>
            <w:pPr>
              <w:jc w:val="right"/>
              <w:ind w:right="1040"/>
              <w:spacing w:after="0"/>
              <w:rPr>
                <w:sz w:val="20"/>
                <w:szCs w:val="20"/>
                <w:color w:val="auto"/>
              </w:rPr>
            </w:pPr>
            <w:r>
              <w:rPr>
                <w:rFonts w:ascii="Arial" w:cs="Arial" w:eastAsia="Arial" w:hAnsi="Arial"/>
                <w:sz w:val="14"/>
                <w:szCs w:val="14"/>
                <w:b w:val="1"/>
                <w:bCs w:val="1"/>
                <w:color w:val="auto"/>
              </w:rPr>
              <w:t>Three months ended March 31,</w:t>
            </w:r>
          </w:p>
        </w:tc>
        <w:tc>
          <w:tcPr>
            <w:tcW w:w="7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r>
      <w:tr>
        <w:trPr>
          <w:trHeight w:val="142"/>
        </w:trPr>
        <w:tc>
          <w:tcPr>
            <w:tcW w:w="574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2018</w:t>
            </w:r>
          </w:p>
        </w:tc>
        <w:tc>
          <w:tcPr>
            <w:tcW w:w="1140" w:type="dxa"/>
            <w:vAlign w:val="bottom"/>
            <w:tcBorders>
              <w:bottom w:val="single" w:sz="8" w:color="auto"/>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440"/>
              <w:spacing w:after="0" w:line="142" w:lineRule="exact"/>
              <w:rPr>
                <w:sz w:val="20"/>
                <w:szCs w:val="20"/>
                <w:color w:val="auto"/>
              </w:rPr>
            </w:pPr>
            <w:r>
              <w:rPr>
                <w:rFonts w:ascii="Arial" w:cs="Arial" w:eastAsia="Arial" w:hAnsi="Arial"/>
                <w:sz w:val="14"/>
                <w:szCs w:val="14"/>
                <w:b w:val="1"/>
                <w:bCs w:val="1"/>
                <w:color w:val="auto"/>
              </w:rPr>
              <w:t>2017</w:t>
            </w:r>
          </w:p>
        </w:tc>
        <w:tc>
          <w:tcPr>
            <w:tcW w:w="720" w:type="dxa"/>
            <w:vAlign w:val="bottom"/>
            <w:tcBorders>
              <w:bottom w:val="single" w:sz="8" w:color="auto"/>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420" w:type="dxa"/>
            <w:vAlign w:val="bottom"/>
            <w:shd w:val="clear" w:color="auto" w:fill="CCEEFF"/>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4,468</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3,114</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58%</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EMEA</w:t>
            </w:r>
          </w:p>
        </w:tc>
        <w:tc>
          <w:tcPr>
            <w:tcW w:w="4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2,475</w:t>
            </w:r>
          </w:p>
        </w:tc>
        <w:tc>
          <w:tcPr>
            <w:tcW w:w="28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1,652</w:t>
            </w:r>
          </w:p>
        </w:tc>
        <w:tc>
          <w:tcPr>
            <w:tcW w:w="440" w:type="dxa"/>
            <w:vAlign w:val="bottom"/>
          </w:tcPr>
          <w:p>
            <w:pPr>
              <w:spacing w:after="0"/>
              <w:rPr>
                <w:sz w:val="18"/>
                <w:szCs w:val="18"/>
                <w:color w:val="auto"/>
              </w:rPr>
            </w:pPr>
          </w:p>
        </w:tc>
        <w:tc>
          <w:tcPr>
            <w:tcW w:w="980" w:type="dxa"/>
            <w:vAlign w:val="bottom"/>
            <w:gridSpan w:val="2"/>
          </w:tcPr>
          <w:p>
            <w:pPr>
              <w:jc w:val="right"/>
              <w:ind w:right="65"/>
              <w:spacing w:after="0"/>
              <w:rPr>
                <w:sz w:val="20"/>
                <w:szCs w:val="20"/>
                <w:color w:val="auto"/>
              </w:rPr>
            </w:pPr>
            <w:r>
              <w:rPr>
                <w:rFonts w:ascii="Arial" w:cs="Arial" w:eastAsia="Arial" w:hAnsi="Arial"/>
                <w:sz w:val="18"/>
                <w:szCs w:val="18"/>
                <w:color w:val="auto"/>
              </w:rPr>
              <w:t>31%</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572</w:t>
            </w: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11%</w:t>
            </w: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7,521</w:t>
            </w:r>
          </w:p>
        </w:tc>
        <w:tc>
          <w:tcPr>
            <w:tcW w:w="280" w:type="dxa"/>
            <w:vAlign w:val="bottom"/>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2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6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5,338</w:t>
            </w:r>
          </w:p>
        </w:tc>
        <w:tc>
          <w:tcPr>
            <w:tcW w:w="2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60" w:type="dxa"/>
            <w:vAlign w:val="bottom"/>
          </w:tcPr>
          <w:p>
            <w:pPr>
              <w:jc w:val="right"/>
              <w:ind w:right="65"/>
              <w:spacing w:after="0"/>
              <w:rPr>
                <w:sz w:val="20"/>
                <w:szCs w:val="20"/>
                <w:color w:val="auto"/>
              </w:rPr>
            </w:pPr>
            <w:r>
              <w:rPr>
                <w:rFonts w:ascii="Arial" w:cs="Arial" w:eastAsia="Arial" w:hAnsi="Arial"/>
                <w:sz w:val="15"/>
                <w:szCs w:val="15"/>
                <w:color w:val="auto"/>
                <w:w w:val="74"/>
              </w:rPr>
              <w:t>%</w:t>
            </w:r>
          </w:p>
        </w:tc>
      </w:tr>
      <w:tr>
        <w:trPr>
          <w:trHeight w:val="20"/>
        </w:trPr>
        <w:tc>
          <w:tcPr>
            <w:tcW w:w="57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w:t>
      </w:r>
    </w:p>
    <w:p>
      <w:pPr>
        <w:sectPr>
          <w:pgSz w:w="11900" w:h="16838" w:orient="portrait"/>
          <w:cols w:equalWidth="0" w:num="1">
            <w:col w:w="11420"/>
          </w:cols>
          <w:pgMar w:left="240" w:top="125" w:right="239" w:bottom="50" w:gutter="0" w:footer="0" w:header="0"/>
        </w:sectPr>
      </w:pPr>
    </w:p>
    <w:bookmarkStart w:id="8" w:name="page9"/>
    <w:bookmarkEnd w:id="8"/>
    <w:p>
      <w:pPr>
        <w:spacing w:after="0" w:line="3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Basic net loss per common share attributable to common stockholders is calculated by dividing the net loss attributable to common stockholders by the weighted-average number of common shares outstanding during the period, without consideration for potentially dilutive securities. Diluted net loss per share is computed by dividing the net loss attributable to common stockholders by the weighted-average number of common shares and potentially dilutive securities outstanding for the period determined using the treasury-stock and if-converted methods. For purposes of the diluted net loss per share calculation, preferred stock, unvested restricted common stock and stock options are considered to be potentially dilutive securities, but are excluded from the calculation of diluted net loss per share because their effect would be anti-dilutive and therefore basic and diluted net loss per share were the same for all periods presented.</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Net loss per share (continued)</w:t>
      </w:r>
    </w:p>
    <w:p>
      <w:pPr>
        <w:spacing w:after="0" w:line="229"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following table sets forth the outstanding potentially dilutive securities that have been excluded in the calculation of diluted net loss per share because to do so would be anti-dilutive (in common stock equivalent shares):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80" w:type="dxa"/>
            <w:vAlign w:val="bottom"/>
          </w:tcPr>
          <w:p>
            <w:pPr>
              <w:spacing w:after="0"/>
              <w:rPr>
                <w:sz w:val="14"/>
                <w:szCs w:val="14"/>
                <w:color w:val="auto"/>
              </w:rPr>
            </w:pPr>
          </w:p>
        </w:tc>
        <w:tc>
          <w:tcPr>
            <w:tcW w:w="27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858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2"/>
                <w:szCs w:val="12"/>
                <w:color w:val="auto"/>
              </w:rPr>
            </w:pPr>
          </w:p>
        </w:tc>
      </w:tr>
      <w:tr>
        <w:trPr>
          <w:trHeight w:val="210"/>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13,518,307</w:t>
            </w:r>
          </w:p>
        </w:tc>
        <w:tc>
          <w:tcPr>
            <w:tcW w:w="1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Unvested restricted common stock and restricted stock units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153,428</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318,523</w:t>
            </w:r>
          </w:p>
        </w:tc>
      </w:tr>
      <w:tr>
        <w:trPr>
          <w:trHeight w:val="216"/>
        </w:trPr>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2,450,846</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1,887,542</w:t>
            </w:r>
          </w:p>
        </w:tc>
        <w:tc>
          <w:tcPr>
            <w:tcW w:w="180" w:type="dxa"/>
            <w:vAlign w:val="bottom"/>
            <w:shd w:val="clear" w:color="auto" w:fill="CCEEFF"/>
          </w:tcPr>
          <w:p>
            <w:pPr>
              <w:spacing w:after="0"/>
              <w:rPr>
                <w:sz w:val="18"/>
                <w:szCs w:val="18"/>
                <w:color w:val="auto"/>
              </w:rPr>
            </w:pPr>
          </w:p>
        </w:tc>
      </w:tr>
      <w:tr>
        <w:trPr>
          <w:trHeight w:val="216"/>
        </w:trPr>
        <w:tc>
          <w:tcPr>
            <w:tcW w:w="8580" w:type="dxa"/>
            <w:vAlign w:val="bottom"/>
          </w:tcPr>
          <w:p>
            <w:pPr>
              <w:spacing w:after="0"/>
              <w:rPr>
                <w:sz w:val="20"/>
                <w:szCs w:val="20"/>
                <w:color w:val="auto"/>
              </w:rPr>
            </w:pPr>
            <w:r>
              <w:rPr>
                <w:rFonts w:ascii="Arial" w:cs="Arial" w:eastAsia="Arial" w:hAnsi="Arial"/>
                <w:sz w:val="18"/>
                <w:szCs w:val="18"/>
                <w:color w:val="auto"/>
              </w:rPr>
              <w:t>Outstanding warrants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76,041</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120,663</w:t>
            </w:r>
          </w:p>
        </w:tc>
      </w:tr>
      <w:tr>
        <w:trPr>
          <w:trHeight w:val="210"/>
        </w:trPr>
        <w:tc>
          <w:tcPr>
            <w:tcW w:w="8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2,680,315</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15,845,035</w:t>
            </w:r>
          </w:p>
        </w:tc>
        <w:tc>
          <w:tcPr>
            <w:tcW w:w="18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of March 31, 2018 and 2017, the Company had an obligation to issue warrants to purchase an additional 93,341 shares of common stock and</w:t>
      </w:r>
    </w:p>
    <w:p>
      <w:pPr>
        <w:spacing w:after="0" w:line="46"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300,000 shares of Series A-3 Preferred Stock, respectively, to a vendor if a contract is terminated prior to a minimum purchase commitment being met. Upon completion of the IPO in December 2017, the warrants to purchase shares of Preferred Stock were converted to warrants to purchase shares of common stock at a 1-for-3.214 basis. No amounts are presented in the table above for this obligation to issue a warrant as the issuance of the warrant is not considered probable.</w:t>
      </w:r>
    </w:p>
    <w:p>
      <w:pPr>
        <w:spacing w:after="0" w:line="19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Company’s redeemable convertible preferred stock was entitled to receive dividends based on dividends declared to common stockholders, thereby giving the preferred stockholders the right to participate in undistributed earnings of the Company above the stated dividend rate. However, preferred stockholders did not have a contractual obligation to share in the net losses of the Company. The Company operated in a net loss position for the three months ended March 31, 2017 and, therefore the Company’s accounting for basic and diluted earnings per share was unaffected by the participation rights of the preferred stockholders. The shares of preferred stock outstanding at March 31, 2017 were converted to shares of common stock at the time of the IPO on a 1-for-3.214 basis.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229"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8"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inputs are quoted prices (unadjusted) in active markets for identical assets or liabilities.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2 inputs are inputs other than quoted prices that are observable for the asset or liability, either directly or indirectly; and</w:t>
      </w:r>
    </w:p>
    <w:p>
      <w:pPr>
        <w:spacing w:after="0" w:line="225"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Level 3 inputs are unobservable inputs that reflect the Company’s own assumptions about the assumptions market participants would use in pricing the asset or liability.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 (continued)</w:t>
      </w:r>
    </w:p>
    <w:p>
      <w:pPr>
        <w:spacing w:after="0" w:line="229"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carrying amount reflected on the balance sheets for cash and cash equivalents, accounts receivable, prepaid expenses and other current assets, accounts payable and accrued liabilities approximated their fair values, due to the short-term nature of these instruments. The carrying value of the long-term debt approximates its fair value as the debt arrangement is based on interest rates the Company believes it could obtain for borrowings with similar terms. The</w:t>
      </w:r>
    </w:p>
    <w:p>
      <w:pPr>
        <w:sectPr>
          <w:pgSz w:w="11900" w:h="16871" w:orient="portrait"/>
          <w:cols w:equalWidth="0" w:num="1">
            <w:col w:w="11420"/>
          </w:cols>
          <w:pgMar w:left="240" w:top="125" w:right="239" w:bottom="0" w:gutter="0" w:footer="0" w:header="0"/>
        </w:sectPr>
      </w:pPr>
    </w:p>
    <w:bookmarkStart w:id="9" w:name="page10"/>
    <w:bookmarkEnd w:id="9"/>
    <w:p>
      <w:pPr>
        <w:spacing w:after="0" w:line="8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Company has an investment in the preferred stock of a privately held company which is recorded within other non-current assets on a cost basis. This cost method investment’s fair value has not been estimated as there are no identified events or changes in circumstances that would indicate a significant adverse effect on the fair value of the investment and to do so would be impractical.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as of March 31, 2018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Quoted</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prices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in active</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49"/>
        </w:trPr>
        <w:tc>
          <w:tcPr>
            <w:tcW w:w="47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markets</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inputs</w:t>
            </w:r>
          </w:p>
        </w:tc>
        <w:tc>
          <w:tcPr>
            <w:tcW w:w="0" w:type="dxa"/>
            <w:vAlign w:val="bottom"/>
          </w:tcPr>
          <w:p>
            <w:pPr>
              <w:spacing w:after="0"/>
              <w:rPr>
                <w:sz w:val="1"/>
                <w:szCs w:val="1"/>
                <w:color w:val="auto"/>
              </w:rPr>
            </w:pPr>
          </w:p>
        </w:tc>
      </w:tr>
      <w:tr>
        <w:trPr>
          <w:trHeight w:val="171"/>
        </w:trPr>
        <w:tc>
          <w:tcPr>
            <w:tcW w:w="4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42"/>
        </w:trPr>
        <w:tc>
          <w:tcPr>
            <w:tcW w:w="4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10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Cash equivalents</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64,006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64,006</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64,006</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64,006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Fair value measurements as of December 31, 2017 are as follows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2"/>
              </w:rPr>
              <w:t>Significant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gridSpan w:val="2"/>
            <w:vMerge w:val="restart"/>
          </w:tcPr>
          <w:p>
            <w:pPr>
              <w:jc w:val="center"/>
              <w:ind w:right="28"/>
              <w:spacing w:after="0"/>
              <w:rPr>
                <w:sz w:val="20"/>
                <w:szCs w:val="20"/>
                <w:color w:val="auto"/>
              </w:rPr>
            </w:pPr>
            <w:r>
              <w:rPr>
                <w:rFonts w:ascii="Arial" w:cs="Arial" w:eastAsia="Arial" w:hAnsi="Arial"/>
                <w:sz w:val="14"/>
                <w:szCs w:val="14"/>
                <w:b w:val="1"/>
                <w:bCs w:val="1"/>
                <w:color w:val="auto"/>
                <w:w w:val="92"/>
              </w:rPr>
              <w:t>Significant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prices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4"/>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other</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0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in active</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80" w:type="dxa"/>
            <w:vAlign w:val="bottom"/>
          </w:tcPr>
          <w:p>
            <w:pPr>
              <w:spacing w:after="0"/>
              <w:rPr>
                <w:sz w:val="12"/>
                <w:szCs w:val="12"/>
                <w:color w:val="auto"/>
              </w:rPr>
            </w:pPr>
          </w:p>
        </w:tc>
        <w:tc>
          <w:tcPr>
            <w:tcW w:w="1140" w:type="dxa"/>
            <w:vAlign w:val="bottom"/>
            <w:gridSpan w:val="3"/>
          </w:tcPr>
          <w:p>
            <w:pPr>
              <w:jc w:val="center"/>
              <w:ind w:left="11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2"/>
                <w:szCs w:val="12"/>
                <w:color w:val="auto"/>
              </w:rPr>
            </w:pPr>
          </w:p>
        </w:tc>
        <w:tc>
          <w:tcPr>
            <w:tcW w:w="122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markets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inputs</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70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center"/>
              <w:ind w:right="128"/>
              <w:spacing w:after="0"/>
              <w:rPr>
                <w:sz w:val="20"/>
                <w:szCs w:val="20"/>
                <w:color w:val="auto"/>
              </w:rPr>
            </w:pPr>
            <w:r>
              <w:rPr>
                <w:rFonts w:ascii="Arial" w:cs="Arial" w:eastAsia="Arial" w:hAnsi="Arial"/>
                <w:sz w:val="14"/>
                <w:szCs w:val="14"/>
                <w:b w:val="1"/>
                <w:bCs w:val="1"/>
                <w:color w:val="auto"/>
                <w:w w:val="94"/>
              </w:rPr>
              <w:t>(Level 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60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360" w:type="dxa"/>
            <w:vAlign w:val="bottom"/>
            <w:gridSpan w:val="2"/>
          </w:tcPr>
          <w:p>
            <w:pPr>
              <w:ind w:left="580"/>
              <w:spacing w:after="0"/>
              <w:rPr>
                <w:sz w:val="20"/>
                <w:szCs w:val="20"/>
                <w:color w:val="auto"/>
              </w:rPr>
            </w:pPr>
            <w:r>
              <w:rPr>
                <w:rFonts w:ascii="Arial" w:cs="Arial" w:eastAsia="Arial" w:hAnsi="Arial"/>
                <w:sz w:val="18"/>
                <w:szCs w:val="18"/>
                <w:color w:val="auto"/>
              </w:rPr>
              <w:t>78,182</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gridSpan w:val="3"/>
          </w:tcPr>
          <w:p>
            <w:pPr>
              <w:jc w:val="right"/>
              <w:ind w:right="100"/>
              <w:spacing w:after="0"/>
              <w:rPr>
                <w:sz w:val="20"/>
                <w:szCs w:val="20"/>
                <w:color w:val="auto"/>
              </w:rPr>
            </w:pPr>
            <w:r>
              <w:rPr>
                <w:rFonts w:ascii="Arial" w:cs="Arial" w:eastAsia="Arial" w:hAnsi="Arial"/>
                <w:sz w:val="18"/>
                <w:szCs w:val="18"/>
                <w:color w:val="auto"/>
              </w:rPr>
              <w:t>78,182</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gridSpan w:val="2"/>
          </w:tcPr>
          <w:p>
            <w:pPr>
              <w:jc w:val="center"/>
              <w:ind w:left="400"/>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jc w:val="right"/>
              <w:ind w:right="11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7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3"/>
              </w:rPr>
              <w:t>78,182</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78,182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center"/>
              <w:ind w:left="50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4700" w:type="dxa"/>
            <w:vAlign w:val="bottom"/>
            <w:gridSpan w:val="2"/>
          </w:tcPr>
          <w:p>
            <w:pPr>
              <w:spacing w:after="0"/>
              <w:rPr>
                <w:sz w:val="20"/>
                <w:szCs w:val="20"/>
                <w:color w:val="auto"/>
              </w:rPr>
            </w:pPr>
            <w:r>
              <w:rPr>
                <w:rFonts w:ascii="Arial" w:cs="Arial" w:eastAsia="Arial" w:hAnsi="Arial"/>
                <w:sz w:val="18"/>
                <w:szCs w:val="18"/>
                <w:b w:val="1"/>
                <w:bCs w:val="1"/>
                <w:color w:val="auto"/>
              </w:rPr>
              <w:t>6. Inventory</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700" w:type="dxa"/>
            <w:vAlign w:val="bottom"/>
            <w:gridSpan w:val="2"/>
          </w:tcPr>
          <w:p>
            <w:pPr>
              <w:ind w:left="660"/>
              <w:spacing w:after="0"/>
              <w:rPr>
                <w:sz w:val="20"/>
                <w:szCs w:val="20"/>
                <w:color w:val="auto"/>
              </w:rPr>
            </w:pPr>
            <w:r>
              <w:rPr>
                <w:rFonts w:ascii="Arial" w:cs="Arial" w:eastAsia="Arial" w:hAnsi="Arial"/>
                <w:sz w:val="18"/>
                <w:szCs w:val="18"/>
                <w:color w:val="auto"/>
              </w:rPr>
              <w:t>Inventory consists of the following (in thousands):</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8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80" w:type="dxa"/>
            <w:vAlign w:val="bottom"/>
            <w:gridSpan w:val="4"/>
          </w:tcPr>
          <w:p>
            <w:pPr>
              <w:jc w:val="right"/>
              <w:ind w:right="290"/>
              <w:spacing w:after="0"/>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80" w:type="dxa"/>
            <w:vAlign w:val="bottom"/>
            <w:gridSpan w:val="6"/>
          </w:tcPr>
          <w:p>
            <w:pPr>
              <w:jc w:val="center"/>
              <w:ind w:right="788"/>
              <w:spacing w:after="0"/>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4"/>
          </w:tcPr>
          <w:p>
            <w:pPr>
              <w:jc w:val="center"/>
              <w:ind w:left="688"/>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46"/>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2,240</w:t>
            </w:r>
          </w:p>
        </w:tc>
        <w:tc>
          <w:tcPr>
            <w:tcW w:w="300" w:type="dxa"/>
            <w:vAlign w:val="bottom"/>
            <w:tcBorders>
              <w:top w:val="single" w:sz="8" w:color="CCEEFF"/>
            </w:tcBorders>
            <w:gridSpan w:val="2"/>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0"/>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w w:val="97"/>
              </w:rPr>
              <w:t>1,431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968</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7"/>
              </w:rPr>
              <w:t>1,661</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00" w:type="dxa"/>
            <w:vAlign w:val="bottom"/>
            <w:shd w:val="clear" w:color="auto" w:fill="CCEEFF"/>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 w:type="dxa"/>
            <w:vAlign w:val="bottom"/>
          </w:tcPr>
          <w:p>
            <w:pPr>
              <w:spacing w:after="0"/>
              <w:rPr>
                <w:sz w:val="18"/>
                <w:szCs w:val="18"/>
                <w:color w:val="auto"/>
              </w:rPr>
            </w:pPr>
          </w:p>
        </w:tc>
        <w:tc>
          <w:tcPr>
            <w:tcW w:w="3900" w:type="dxa"/>
            <w:vAlign w:val="bottom"/>
          </w:tcPr>
          <w:p>
            <w:pPr>
              <w:ind w:left="160"/>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Borders>
              <w:bottom w:val="single" w:sz="8" w:color="auto"/>
            </w:tcBorders>
          </w:tcPr>
          <w:p>
            <w:pPr>
              <w:jc w:val="right"/>
              <w:ind w:right="646"/>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5,332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600"/>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3,571</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comprises commercial instruments, assays, and the materials required to manufacture assays.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Investments</w:t>
      </w:r>
    </w:p>
    <w:p>
      <w:pPr>
        <w:spacing w:after="0" w:line="229"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During the third quarter of 2016, the Company purchased a minority interest in preferred stock in a privately held company for $0.3 million. The investment is recorded on a cost basis in other non-current assets on the accompanying balance sheets as the Company does not have a controlling interest, does not have the ability to exercise significant influence over the privately held company and the fair value of this equity investment is not readily determinable. The Company performs an impairments analysis at each reporting period to determine if the carrying value must be reduced due to a decrease in the value of the investment, which includes consideration of whether an event or change in circumstances has occurred that may have a significant adverse effect on the fair value of the investment. The Company has determined there was no impairment during the three months ended March 31, 2018 or in any prior period.</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Other accrued expenses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accrued expenses consist of the following (in thousands):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60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4"/>
                <w:szCs w:val="14"/>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inventory</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0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Accrued royalties</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236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221</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professional services</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Accrued development costs</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1,350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Accrued acquisition payment</w:t>
            </w:r>
          </w:p>
        </w:tc>
        <w:tc>
          <w:tcPr>
            <w:tcW w:w="2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Accrued other</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470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599</w:t>
            </w:r>
          </w:p>
        </w:tc>
      </w:tr>
      <w:tr>
        <w:trPr>
          <w:trHeight w:val="210"/>
        </w:trPr>
        <w:tc>
          <w:tcPr>
            <w:tcW w:w="60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accrued expenses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Redeemable convertible preferred stock</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has authorized preferred stock amounting to 5,000,000 shares as of March 31, 2018 and December 31, 2017. The authorized preferred stock was classified under stockholders’ equity at March 31, 2018 and December 31, 2017.</w:t>
      </w:r>
    </w:p>
    <w:p>
      <w:pPr>
        <w:spacing w:after="0" w:line="170"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Prior to the IPO in December 2017, the Company had classes of preferred stock outstanding. These shares of preferred stock were converted to shares of common stock at the time of the IPO on 1-for-3.214 shares basis. The reconciliation of net loss attributable to common shareholders in the</w:t>
      </w:r>
    </w:p>
    <w:p>
      <w:pPr>
        <w:sectPr>
          <w:pgSz w:w="11900" w:h="16921" w:orient="portrait"/>
          <w:cols w:equalWidth="0" w:num="1">
            <w:col w:w="11420"/>
          </w:cols>
          <w:pgMar w:left="240" w:top="125" w:right="239" w:bottom="0" w:gutter="0" w:footer="0" w:header="0"/>
        </w:sectPr>
      </w:pPr>
    </w:p>
    <w:bookmarkStart w:id="10" w:name="page11"/>
    <w:bookmarkEnd w:id="10"/>
    <w:p>
      <w:pPr>
        <w:spacing w:after="0"/>
        <w:rPr>
          <w:sz w:val="20"/>
          <w:szCs w:val="20"/>
          <w:color w:val="auto"/>
        </w:rPr>
      </w:pPr>
      <w:r>
        <w:rPr>
          <w:rFonts w:ascii="Arial" w:cs="Arial" w:eastAsia="Arial" w:hAnsi="Arial"/>
          <w:sz w:val="16"/>
          <w:szCs w:val="16"/>
          <w:color w:val="auto"/>
        </w:rPr>
        <w:t>consolidated statement of operations for the three months ended March 31, 2017 includes an adjustment for accretion of preferred stock to redemption value.</w:t>
      </w:r>
    </w:p>
    <w:p>
      <w:pPr>
        <w:spacing w:after="0" w:line="244" w:lineRule="exact"/>
        <w:rPr>
          <w:sz w:val="20"/>
          <w:szCs w:val="20"/>
          <w:color w:val="auto"/>
        </w:rPr>
      </w:pPr>
    </w:p>
    <w:p>
      <w:pPr>
        <w:ind w:right="4000" w:firstLine="8"/>
        <w:spacing w:after="0" w:line="503" w:lineRule="auto"/>
        <w:tabs>
          <w:tab w:leader="none" w:pos="27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Warrants, stock-based compensation, stock options, restricted stock and restricted stock units Warrants</w:t>
      </w:r>
    </w:p>
    <w:p>
      <w:pPr>
        <w:spacing w:after="0" w:line="1"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During the three months ended March 31, 2018 the Company issued warrants to purchase common stock to a consultant providing services for the Company. Additionally, during the three months ended March 31, 2018, warrants were exercised by a holder on a net, non-cash, basis. A summary of warrant activity is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Shares</w:t>
            </w:r>
          </w:p>
        </w:tc>
        <w:tc>
          <w:tcPr>
            <w:tcW w:w="16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Weighted average</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6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exercise price</w:t>
            </w:r>
          </w:p>
        </w:tc>
        <w:tc>
          <w:tcPr>
            <w:tcW w:w="1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3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4"/>
              </w:rPr>
              <w:t>Warrants outstanding as of December 31, 2017</w:t>
            </w:r>
          </w:p>
        </w:tc>
        <w:tc>
          <w:tcPr>
            <w:tcW w:w="10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86,090</w:t>
            </w:r>
          </w:p>
        </w:tc>
        <w:tc>
          <w:tcPr>
            <w:tcW w:w="18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60" w:type="dxa"/>
            <w:vAlign w:val="bottom"/>
            <w:tcBorders>
              <w:top w:val="single" w:sz="8" w:color="CCEEFF"/>
            </w:tcBorders>
            <w:shd w:val="clear" w:color="auto" w:fill="CCEEFF"/>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Granted</w:t>
            </w:r>
          </w:p>
        </w:tc>
        <w:tc>
          <w:tcPr>
            <w:tcW w:w="2480" w:type="dxa"/>
            <w:vAlign w:val="bottom"/>
            <w:gridSpan w:val="3"/>
          </w:tcPr>
          <w:p>
            <w:pPr>
              <w:jc w:val="right"/>
              <w:ind w:right="180"/>
              <w:spacing w:after="0"/>
              <w:rPr>
                <w:sz w:val="20"/>
                <w:szCs w:val="20"/>
                <w:color w:val="auto"/>
              </w:rPr>
            </w:pPr>
            <w:r>
              <w:rPr>
                <w:rFonts w:ascii="Arial" w:cs="Arial" w:eastAsia="Arial" w:hAnsi="Arial"/>
                <w:sz w:val="18"/>
                <w:szCs w:val="18"/>
                <w:color w:val="auto"/>
              </w:rPr>
              <w:t>10,000</w:t>
            </w: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4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(20,049)</w:t>
            </w: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6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b w:val="1"/>
                <w:bCs w:val="1"/>
                <w:color w:val="auto"/>
              </w:rPr>
              <w:t>Warrants outstanding as of March 31, 2018</w:t>
            </w:r>
          </w:p>
        </w:tc>
        <w:tc>
          <w:tcPr>
            <w:tcW w:w="106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76,041</w:t>
            </w:r>
          </w:p>
        </w:tc>
        <w:tc>
          <w:tcPr>
            <w:tcW w:w="180" w:type="dxa"/>
            <w:vAlign w:val="bottom"/>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16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060" w:type="dxa"/>
            <w:vAlign w:val="bottom"/>
          </w:tcPr>
          <w:p>
            <w:pPr>
              <w:jc w:val="right"/>
              <w:ind w:right="590"/>
              <w:spacing w:after="0"/>
              <w:rPr>
                <w:sz w:val="20"/>
                <w:szCs w:val="20"/>
                <w:color w:val="auto"/>
              </w:rPr>
            </w:pPr>
            <w:r>
              <w:rPr>
                <w:rFonts w:ascii="Arial" w:cs="Arial" w:eastAsia="Arial" w:hAnsi="Arial"/>
                <w:sz w:val="18"/>
                <w:szCs w:val="18"/>
                <w:color w:val="auto"/>
              </w:rPr>
              <w:t>15</w:t>
            </w: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808080"/>
            </w:tcBorders>
          </w:tcPr>
          <w:p>
            <w:pPr>
              <w:spacing w:after="0"/>
              <w:rPr>
                <w:sz w:val="11"/>
                <w:szCs w:val="11"/>
                <w:color w:val="auto"/>
              </w:rPr>
            </w:pPr>
          </w:p>
        </w:tc>
        <w:tc>
          <w:tcPr>
            <w:tcW w:w="38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4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3120" w:firstLine="8"/>
        <w:spacing w:after="0" w:line="503" w:lineRule="auto"/>
        <w:tabs>
          <w:tab w:leader="none" w:pos="2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Warrants, stock-based compensation, stock options, restricted stock and restricted stock units continued) Stock-based compensation</w:t>
      </w: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Share-based compensation expense for all stock awards consists of the following (in thousands):</w:t>
      </w:r>
    </w:p>
    <w:p>
      <w:pPr>
        <w:spacing w:after="0" w:line="217"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22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600" w:type="dxa"/>
            <w:vAlign w:val="bottom"/>
            <w:tcBorders>
              <w:bottom w:val="single" w:sz="8" w:color="auto"/>
            </w:tcBorders>
            <w:gridSpan w:val="4"/>
          </w:tcPr>
          <w:p>
            <w:pPr>
              <w:ind w:left="540"/>
              <w:spacing w:after="0"/>
              <w:rPr>
                <w:sz w:val="20"/>
                <w:szCs w:val="20"/>
                <w:color w:val="auto"/>
              </w:rPr>
            </w:pPr>
            <w:r>
              <w:rPr>
                <w:rFonts w:ascii="Arial" w:cs="Arial" w:eastAsia="Arial" w:hAnsi="Arial"/>
                <w:sz w:val="14"/>
                <w:szCs w:val="14"/>
                <w:b w:val="1"/>
                <w:bCs w:val="1"/>
                <w:color w:val="auto"/>
                <w:w w:val="98"/>
              </w:rPr>
              <w:t>Three months ended March 31,</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220" w:type="dxa"/>
            <w:vAlign w:val="bottom"/>
            <w:tcBorders>
              <w:bottom w:val="single" w:sz="8" w:color="CCEEFF"/>
            </w:tcBorders>
          </w:tcPr>
          <w:p>
            <w:pPr>
              <w:spacing w:after="0"/>
              <w:rPr>
                <w:sz w:val="12"/>
                <w:szCs w:val="12"/>
                <w:color w:val="auto"/>
              </w:rPr>
            </w:pPr>
          </w:p>
        </w:tc>
        <w:tc>
          <w:tcPr>
            <w:tcW w:w="1800" w:type="dxa"/>
            <w:vAlign w:val="bottom"/>
            <w:tcBorders>
              <w:bottom w:val="single" w:sz="8" w:color="CCEEFF"/>
            </w:tcBorders>
          </w:tcPr>
          <w:p>
            <w:pPr>
              <w:spacing w:after="0"/>
              <w:rPr>
                <w:sz w:val="12"/>
                <w:szCs w:val="12"/>
                <w:color w:val="auto"/>
              </w:rPr>
            </w:pPr>
          </w:p>
        </w:tc>
        <w:tc>
          <w:tcPr>
            <w:tcW w:w="960" w:type="dxa"/>
            <w:vAlign w:val="bottom"/>
            <w:tcBorders>
              <w:bottom w:val="single" w:sz="8" w:color="auto"/>
            </w:tcBorders>
          </w:tcPr>
          <w:p>
            <w:pPr>
              <w:ind w:left="540"/>
              <w:spacing w:after="0" w:line="142" w:lineRule="exact"/>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tcPr>
          <w:p>
            <w:pPr>
              <w:jc w:val="right"/>
              <w:ind w:right="46"/>
              <w:spacing w:after="0" w:line="142" w:lineRule="exact"/>
              <w:rPr>
                <w:sz w:val="20"/>
                <w:szCs w:val="20"/>
                <w:color w:val="auto"/>
              </w:rPr>
            </w:pPr>
            <w:r>
              <w:rPr>
                <w:rFonts w:ascii="Arial" w:cs="Arial" w:eastAsia="Arial" w:hAnsi="Arial"/>
                <w:sz w:val="14"/>
                <w:szCs w:val="14"/>
                <w:b w:val="1"/>
                <w:bCs w:val="1"/>
                <w:color w:val="auto"/>
              </w:rPr>
              <w:t>2017</w:t>
            </w:r>
          </w:p>
        </w:tc>
        <w:tc>
          <w:tcPr>
            <w:tcW w:w="4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r>
      <w:tr>
        <w:trPr>
          <w:trHeight w:val="210"/>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Cost of service and other revenue</w:t>
            </w: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32</w:t>
            </w:r>
          </w:p>
        </w:tc>
        <w:tc>
          <w:tcPr>
            <w:tcW w:w="9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r>
        <w:trPr>
          <w:trHeight w:val="216"/>
        </w:trPr>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8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71</w:t>
            </w:r>
          </w:p>
        </w:tc>
        <w:tc>
          <w:tcPr>
            <w:tcW w:w="9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42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523</w:t>
            </w:r>
          </w:p>
        </w:tc>
        <w:tc>
          <w:tcPr>
            <w:tcW w:w="94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226</w:t>
            </w: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80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ind w:right="786"/>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As of March 31, 2018, under the 2007 Stock Option and Grant Plan (the 2007 Plan), options to purchase 2,200,084 shares of our common stock were outstanding, 621,597 shares of our common stock had been issued and were outstanding pursuant to the exercise of options, 1,128,975 shares of our common stock had been issued and were outstanding pursuant to restricted or unrestricted stock awards, and no shares of our common stock were available for future awards. In connection with the completion of the IPO, the Company terminated the 2007 Plan.</w:t>
      </w:r>
    </w:p>
    <w:p>
      <w:pPr>
        <w:spacing w:after="0" w:line="17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December 2017, the Company adopted the 2017 Employee, Director and Consultant Equity Incentive Plan (the 2017 Plan), under which it may grant incentive stock options, non-qualified stock options, restricted stock, and other stock-based awards. As of December 31, 2017, the 2017 Plan allowed for the issuance of up to 1,042,314 shares or options to purchase shares of common stock plus up to 2,490,290 shares of our common stock represented by awards granted under the 2007 Plan that are forfeited, expire or are cancelled without delivery of shares or which result in the forfeiture of shares of common stock back to the Company on or after the date the 2017 Plan becomes effective. As of March 31, 2018, 776,926 shares were available for grant under the 2017 Plan.</w:t>
      </w:r>
    </w:p>
    <w:p>
      <w:pPr>
        <w:spacing w:after="0" w:line="19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Warrants, stock-based compensation, stock options, restricted stock and restricted stock units (continued)</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In addition, the 2017 Plan contains an “evergreen” provision, which allows for an annual increase in the number of shares of common stock available for issuance under the 2017 Plan on the first day of each fiscal year during the period beginning in fiscal year 2019 and ending in fiscal year 2027. The annual increase in the number of shares shall be equal to the lowest of: 4% of the number of shares of common stock outstanding as of such date; and an amount determined by the Company’s Board of directors or Compensation Committee.</w:t>
      </w:r>
    </w:p>
    <w:p>
      <w:pPr>
        <w:spacing w:after="0" w:line="18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December 2017, the Company adopted the 2017 Employee Stock Purchase Plan (the 2017 ESPP). As March 31, 2018, the 2017 ESPP allowed for the issuance of up to 427,305 shares of common stock and 427,305 shares were available for grant under the 2017 ESPP.</w:t>
      </w:r>
    </w:p>
    <w:p>
      <w:pPr>
        <w:spacing w:after="0" w:line="170"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The 2017 ESPP contains an “evergreen” provision, which allows for an increase on the first day of each fiscal year beginning with fiscal year 2018. The increase in the number of shares shall be equal to the lowest of: 1% of the number of shares of common stock outstanding on the last day of the immediately preceding fiscal year or an amount determined by the Company’s Board of Directors or Compensation Committee. The number of shares available for grant under the 2017 ESPP increased by 218,842 on January 1, 2018 due to this provision.</w:t>
      </w:r>
    </w:p>
    <w:p>
      <w:pPr>
        <w:sectPr>
          <w:pgSz w:w="11900" w:h="16838" w:orient="portrait"/>
          <w:cols w:equalWidth="0" w:num="1">
            <w:col w:w="11460"/>
          </w:cols>
          <w:pgMar w:left="240" w:top="125" w:right="199" w:bottom="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Under the 2007 and 2017 Plans, stock options may not be granted with exercise prices of less than fair market value on the date of the grant. Options generally vest ratably over a four-year period with 25% vesting on the first anniversary and the remaining 75% vesting ratably on a monthly basis over the remaining three years. These options expire ten years after the grant date. Activity under the 2007 and the 2017 Plans was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Weighted-</w:t>
            </w:r>
          </w:p>
        </w:tc>
        <w:tc>
          <w:tcPr>
            <w:tcW w:w="1080" w:type="dxa"/>
            <w:vAlign w:val="bottom"/>
          </w:tcPr>
          <w:p>
            <w:pPr>
              <w:jc w:val="center"/>
              <w:ind w:left="208"/>
              <w:spacing w:after="0"/>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37"/>
              <w:spacing w:after="0" w:line="149" w:lineRule="exact"/>
              <w:rPr>
                <w:sz w:val="20"/>
                <w:szCs w:val="20"/>
                <w:color w:val="auto"/>
              </w:rPr>
            </w:pPr>
            <w:r>
              <w:rPr>
                <w:rFonts w:ascii="Arial" w:cs="Arial" w:eastAsia="Arial" w:hAnsi="Arial"/>
                <w:sz w:val="14"/>
                <w:szCs w:val="14"/>
                <w:b w:val="1"/>
                <w:bCs w:val="1"/>
                <w:color w:val="auto"/>
                <w:w w:val="90"/>
              </w:rPr>
              <w:t>average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left="188"/>
              <w:spacing w:after="0" w:line="149" w:lineRule="exact"/>
              <w:rPr>
                <w:sz w:val="20"/>
                <w:szCs w:val="20"/>
                <w:color w:val="auto"/>
              </w:rPr>
            </w:pPr>
            <w:r>
              <w:rPr>
                <w:rFonts w:ascii="Arial" w:cs="Arial" w:eastAsia="Arial" w:hAnsi="Arial"/>
                <w:sz w:val="14"/>
                <w:szCs w:val="14"/>
                <w:b w:val="1"/>
                <w:bCs w:val="1"/>
                <w:color w:val="auto"/>
                <w:w w:val="92"/>
              </w:rPr>
              <w:t>contractual</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49"/>
        </w:trPr>
        <w:tc>
          <w:tcPr>
            <w:tcW w:w="5000" w:type="dxa"/>
            <w:vAlign w:val="bottom"/>
          </w:tcPr>
          <w:p>
            <w:pPr>
              <w:spacing w:after="0"/>
              <w:rPr>
                <w:sz w:val="12"/>
                <w:szCs w:val="12"/>
                <w:color w:val="auto"/>
              </w:rPr>
            </w:pPr>
          </w:p>
        </w:tc>
        <w:tc>
          <w:tcPr>
            <w:tcW w:w="1660" w:type="dxa"/>
            <w:vAlign w:val="bottom"/>
            <w:gridSpan w:val="2"/>
            <w:vMerge w:val="restart"/>
          </w:tcPr>
          <w:p>
            <w:pPr>
              <w:jc w:val="right"/>
              <w:ind w:right="740"/>
              <w:spacing w:after="0"/>
              <w:rPr>
                <w:sz w:val="20"/>
                <w:szCs w:val="20"/>
                <w:color w:val="auto"/>
              </w:rPr>
            </w:pPr>
            <w:r>
              <w:rPr>
                <w:rFonts w:ascii="Arial" w:cs="Arial" w:eastAsia="Arial" w:hAnsi="Arial"/>
                <w:sz w:val="14"/>
                <w:szCs w:val="14"/>
                <w:b w:val="1"/>
                <w:bCs w:val="1"/>
                <w:color w:val="auto"/>
              </w:rPr>
              <w:t>Options</w:t>
            </w:r>
          </w:p>
        </w:tc>
        <w:tc>
          <w:tcPr>
            <w:tcW w:w="940" w:type="dxa"/>
            <w:vAlign w:val="bottom"/>
          </w:tcPr>
          <w:p>
            <w:pPr>
              <w:jc w:val="center"/>
              <w:ind w:left="357"/>
              <w:spacing w:after="0" w:line="149" w:lineRule="exact"/>
              <w:rPr>
                <w:sz w:val="20"/>
                <w:szCs w:val="20"/>
                <w:color w:val="auto"/>
              </w:rPr>
            </w:pPr>
            <w:r>
              <w:rPr>
                <w:rFonts w:ascii="Arial" w:cs="Arial" w:eastAsia="Arial" w:hAnsi="Arial"/>
                <w:sz w:val="14"/>
                <w:szCs w:val="14"/>
                <w:b w:val="1"/>
                <w:bCs w:val="1"/>
                <w:color w:val="auto"/>
                <w:w w:val="89"/>
              </w:rPr>
              <w:t>exercise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jc w:val="center"/>
              <w:ind w:left="208"/>
              <w:spacing w:after="0" w:line="149" w:lineRule="exact"/>
              <w:rPr>
                <w:sz w:val="20"/>
                <w:szCs w:val="20"/>
                <w:color w:val="auto"/>
              </w:rPr>
            </w:pPr>
            <w:r>
              <w:rPr>
                <w:rFonts w:ascii="Arial" w:cs="Arial" w:eastAsia="Arial" w:hAnsi="Arial"/>
                <w:sz w:val="14"/>
                <w:szCs w:val="14"/>
                <w:b w:val="1"/>
                <w:bCs w:val="1"/>
                <w:color w:val="auto"/>
                <w:w w:val="98"/>
              </w:rPr>
              <w:t>life</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71"/>
        </w:trPr>
        <w:tc>
          <w:tcPr>
            <w:tcW w:w="5000" w:type="dxa"/>
            <w:vAlign w:val="bottom"/>
          </w:tcPr>
          <w:p>
            <w:pPr>
              <w:spacing w:after="0"/>
              <w:rPr>
                <w:sz w:val="14"/>
                <w:szCs w:val="14"/>
                <w:color w:val="auto"/>
              </w:rPr>
            </w:pPr>
          </w:p>
        </w:tc>
        <w:tc>
          <w:tcPr>
            <w:tcW w:w="1660" w:type="dxa"/>
            <w:vAlign w:val="bottom"/>
            <w:gridSpan w:val="2"/>
            <w:vMerge w:val="continue"/>
          </w:tcPr>
          <w:p>
            <w:pPr>
              <w:spacing w:after="0"/>
              <w:rPr>
                <w:sz w:val="14"/>
                <w:szCs w:val="14"/>
                <w:color w:val="auto"/>
              </w:rPr>
            </w:pPr>
          </w:p>
        </w:tc>
        <w:tc>
          <w:tcPr>
            <w:tcW w:w="940" w:type="dxa"/>
            <w:vAlign w:val="bottom"/>
          </w:tcPr>
          <w:p>
            <w:pPr>
              <w:jc w:val="center"/>
              <w:ind w:left="357"/>
              <w:spacing w:after="0"/>
              <w:rPr>
                <w:sz w:val="20"/>
                <w:szCs w:val="20"/>
                <w:color w:val="auto"/>
              </w:rPr>
            </w:pPr>
            <w:r>
              <w:rPr>
                <w:rFonts w:ascii="Arial" w:cs="Arial" w:eastAsia="Arial" w:hAnsi="Arial"/>
                <w:sz w:val="14"/>
                <w:szCs w:val="14"/>
                <w:b w:val="1"/>
                <w:bCs w:val="1"/>
                <w:color w:val="auto"/>
                <w:w w:val="89"/>
              </w:rPr>
              <w:t>price</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center"/>
              <w:ind w:left="188"/>
              <w:spacing w:after="0"/>
              <w:rPr>
                <w:sz w:val="20"/>
                <w:szCs w:val="20"/>
                <w:color w:val="auto"/>
              </w:rPr>
            </w:pPr>
            <w:r>
              <w:rPr>
                <w:rFonts w:ascii="Arial" w:cs="Arial" w:eastAsia="Arial" w:hAnsi="Arial"/>
                <w:sz w:val="14"/>
                <w:szCs w:val="14"/>
                <w:b w:val="1"/>
                <w:bCs w:val="1"/>
                <w:color w:val="auto"/>
                <w:w w:val="93"/>
              </w:rPr>
              <w:t>(in years)</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2,249,843</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spacing w:after="0"/>
              <w:rPr>
                <w:sz w:val="20"/>
                <w:szCs w:val="20"/>
                <w:color w:val="auto"/>
              </w:rPr>
            </w:pPr>
            <w:r>
              <w:rPr>
                <w:rFonts w:ascii="Arial" w:cs="Arial" w:eastAsia="Arial" w:hAnsi="Arial"/>
                <w:sz w:val="18"/>
                <w:szCs w:val="18"/>
                <w:color w:val="auto"/>
              </w:rPr>
              <w:t>281,640</w:t>
            </w:r>
          </w:p>
        </w:tc>
        <w:tc>
          <w:tcPr>
            <w:tcW w:w="300" w:type="dxa"/>
            <w:vAlign w:val="bottom"/>
          </w:tcPr>
          <w:p>
            <w:pPr>
              <w:spacing w:after="0"/>
              <w:rPr>
                <w:sz w:val="18"/>
                <w:szCs w:val="18"/>
                <w:color w:val="auto"/>
              </w:rPr>
            </w:pP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20.07</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Exercised</w:t>
            </w:r>
          </w:p>
        </w:tc>
        <w:tc>
          <w:tcPr>
            <w:tcW w:w="1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(49,759)</w:t>
            </w: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1.68</w:t>
            </w:r>
          </w:p>
        </w:tc>
        <w:tc>
          <w:tcPr>
            <w:tcW w:w="10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0"/>
              <w:spacing w:after="0"/>
              <w:rPr>
                <w:sz w:val="20"/>
                <w:szCs w:val="20"/>
                <w:color w:val="auto"/>
              </w:rPr>
            </w:pPr>
            <w:r>
              <w:rPr>
                <w:rFonts w:ascii="Arial" w:cs="Arial" w:eastAsia="Arial" w:hAnsi="Arial"/>
                <w:sz w:val="18"/>
                <w:szCs w:val="18"/>
                <w:color w:val="auto"/>
              </w:rPr>
              <w:t>Cancelled or forfeited</w:t>
            </w:r>
          </w:p>
        </w:tc>
        <w:tc>
          <w:tcPr>
            <w:tcW w:w="1660" w:type="dxa"/>
            <w:vAlign w:val="bottom"/>
            <w:gridSpan w:val="2"/>
          </w:tcPr>
          <w:p>
            <w:pPr>
              <w:jc w:val="right"/>
              <w:ind w:right="240"/>
              <w:spacing w:after="0"/>
              <w:rPr>
                <w:sz w:val="20"/>
                <w:szCs w:val="20"/>
                <w:color w:val="auto"/>
              </w:rPr>
            </w:pPr>
            <w:r>
              <w:rPr>
                <w:rFonts w:ascii="Arial" w:cs="Arial" w:eastAsia="Arial" w:hAnsi="Arial"/>
                <w:sz w:val="18"/>
                <w:szCs w:val="18"/>
                <w:color w:val="auto"/>
              </w:rPr>
              <w:t>(30,878)</w:t>
            </w: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w w:val="93"/>
              </w:rPr>
              <w:t>12.13</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March 31, 2018</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2,450,846</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7.79</w:t>
            </w:r>
          </w:p>
        </w:tc>
        <w:tc>
          <w:tcPr>
            <w:tcW w:w="10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22,667</w:t>
            </w:r>
          </w:p>
        </w:tc>
        <w:tc>
          <w:tcPr>
            <w:tcW w:w="0" w:type="dxa"/>
            <w:vAlign w:val="bottom"/>
          </w:tcPr>
          <w:p>
            <w:pPr>
              <w:spacing w:after="0"/>
              <w:rPr>
                <w:sz w:val="1"/>
                <w:szCs w:val="1"/>
                <w:color w:val="auto"/>
              </w:rPr>
            </w:pPr>
          </w:p>
        </w:tc>
      </w:tr>
      <w:tr>
        <w:trPr>
          <w:trHeight w:val="210"/>
        </w:trPr>
        <w:tc>
          <w:tcPr>
            <w:tcW w:w="5000" w:type="dxa"/>
            <w:vAlign w:val="bottom"/>
          </w:tcPr>
          <w:p>
            <w:pPr>
              <w:spacing w:after="0"/>
              <w:rPr>
                <w:sz w:val="20"/>
                <w:szCs w:val="20"/>
                <w:color w:val="auto"/>
              </w:rPr>
            </w:pPr>
            <w:r>
              <w:rPr>
                <w:rFonts w:ascii="Arial" w:cs="Arial" w:eastAsia="Arial" w:hAnsi="Arial"/>
                <w:sz w:val="18"/>
                <w:szCs w:val="18"/>
                <w:color w:val="auto"/>
              </w:rPr>
              <w:t>Vested and expected to vest at March 31, 2018</w:t>
            </w:r>
          </w:p>
        </w:tc>
        <w:tc>
          <w:tcPr>
            <w:tcW w:w="1360" w:type="dxa"/>
            <w:vAlign w:val="bottom"/>
          </w:tcPr>
          <w:p>
            <w:pPr>
              <w:jc w:val="right"/>
              <w:spacing w:after="0"/>
              <w:rPr>
                <w:sz w:val="20"/>
                <w:szCs w:val="20"/>
                <w:color w:val="auto"/>
              </w:rPr>
            </w:pPr>
            <w:r>
              <w:rPr>
                <w:rFonts w:ascii="Arial" w:cs="Arial" w:eastAsia="Arial" w:hAnsi="Arial"/>
                <w:sz w:val="18"/>
                <w:szCs w:val="18"/>
                <w:color w:val="auto"/>
              </w:rPr>
              <w:t>2,450,846</w:t>
            </w:r>
          </w:p>
        </w:tc>
        <w:tc>
          <w:tcPr>
            <w:tcW w:w="300" w:type="dxa"/>
            <w:vAlign w:val="bottom"/>
          </w:tcPr>
          <w:p>
            <w:pPr>
              <w:spacing w:after="0"/>
              <w:rPr>
                <w:sz w:val="18"/>
                <w:szCs w:val="18"/>
                <w:color w:val="auto"/>
              </w:rPr>
            </w:pP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7.79</w:t>
            </w:r>
          </w:p>
        </w:tc>
        <w:tc>
          <w:tcPr>
            <w:tcW w:w="108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7.9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22,667</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March 31, 2018</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1,139,868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w:t>
            </w:r>
          </w:p>
        </w:tc>
        <w:tc>
          <w:tcPr>
            <w:tcW w:w="10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14,098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Using the Black-Scholes option pricing model, the weighted-average fair value of options granted to employees and directors during the three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months ended March 31, 2018 and 2017 was $8.72 and $4.60 per share, respectively. The expense related to awards granted to employees was $0.5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and $0.1 million for the three months ended March 31, 2018 and 2017, respectively. The intrinsic value of stock options exercised was $1.0 million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$0.1 million for the three months ended March 31, 2018 and 2017, respectively. Activity related to non-employee awards was not material to the three months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ended March 31, 2018 and 2017.</w:t>
      </w:r>
    </w:p>
    <w:p>
      <w:pPr>
        <w:spacing w:after="0" w:line="21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At March 31, 2018, there was $6.6 million of total unrecognized compensation cost related to unvested stock options, which is expected to be recognized over the remaining weighted-average vesting period of 3.3 years.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fair value of stock options granted to employees and directors for their services on the Company’s Board of Directors is estimated on the grant date using the Black-Scholes option-pricing model, based on the assumptions noted in the following table:</w:t>
      </w:r>
    </w:p>
    <w:p>
      <w:pPr>
        <w:spacing w:after="0" w:line="162" w:lineRule="exact"/>
        <w:rPr>
          <w:sz w:val="20"/>
          <w:szCs w:val="20"/>
          <w:color w:val="auto"/>
        </w:rPr>
      </w:pPr>
    </w:p>
    <w:p>
      <w:pPr>
        <w:jc w:val="center"/>
        <w:ind w:left="5220"/>
        <w:spacing w:after="0"/>
        <w:rPr>
          <w:sz w:val="20"/>
          <w:szCs w:val="20"/>
          <w:color w:val="auto"/>
        </w:rPr>
      </w:pPr>
      <w:r>
        <w:rPr>
          <w:rFonts w:ascii="Arial" w:cs="Arial" w:eastAsia="Arial" w:hAnsi="Arial"/>
          <w:sz w:val="14"/>
          <w:szCs w:val="14"/>
          <w:b w:val="1"/>
          <w:bCs w:val="1"/>
          <w:color w:val="auto"/>
        </w:rPr>
        <w:t>Three months ended</w:t>
      </w:r>
    </w:p>
    <w:p>
      <w:pPr>
        <w:jc w:val="center"/>
        <w:ind w:left="52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980" w:type="dxa"/>
            <w:vAlign w:val="bottom"/>
          </w:tcPr>
          <w:p>
            <w:pPr>
              <w:spacing w:after="0"/>
              <w:rPr>
                <w:sz w:val="12"/>
                <w:szCs w:val="12"/>
                <w:color w:val="auto"/>
              </w:rPr>
            </w:pPr>
          </w:p>
        </w:tc>
        <w:tc>
          <w:tcPr>
            <w:tcW w:w="584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36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12"/>
                <w:szCs w:val="12"/>
                <w:color w:val="auto"/>
              </w:rPr>
            </w:pPr>
          </w:p>
        </w:tc>
        <w:tc>
          <w:tcPr>
            <w:tcW w:w="1360" w:type="dxa"/>
            <w:vAlign w:val="bottom"/>
          </w:tcPr>
          <w:p>
            <w:pPr>
              <w:spacing w:after="0"/>
              <w:rPr>
                <w:sz w:val="12"/>
                <w:szCs w:val="12"/>
                <w:color w:val="auto"/>
              </w:rPr>
            </w:pPr>
          </w:p>
        </w:tc>
      </w:tr>
      <w:tr>
        <w:trPr>
          <w:trHeight w:val="210"/>
        </w:trPr>
        <w:tc>
          <w:tcPr>
            <w:tcW w:w="980" w:type="dxa"/>
            <w:vAlign w:val="bottom"/>
          </w:tcPr>
          <w:p>
            <w:pPr>
              <w:spacing w:after="0"/>
              <w:rPr>
                <w:sz w:val="18"/>
                <w:szCs w:val="18"/>
                <w:color w:val="auto"/>
              </w:rPr>
            </w:pPr>
          </w:p>
        </w:tc>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w:t>
            </w:r>
          </w:p>
        </w:tc>
        <w:tc>
          <w:tcPr>
            <w:tcW w:w="1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Expected dividend yield</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None</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136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p>
        </w:tc>
        <w:tc>
          <w:tcPr>
            <w:tcW w:w="674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41.5%</w:t>
            </w:r>
          </w:p>
        </w:tc>
        <w:tc>
          <w:tcPr>
            <w:tcW w:w="1640" w:type="dxa"/>
            <w:vAlign w:val="bottom"/>
            <w:gridSpan w:val="2"/>
          </w:tcPr>
          <w:p>
            <w:pPr>
              <w:jc w:val="right"/>
              <w:ind w:right="120"/>
              <w:spacing w:after="0"/>
              <w:rPr>
                <w:sz w:val="20"/>
                <w:szCs w:val="20"/>
                <w:color w:val="auto"/>
              </w:rPr>
            </w:pPr>
            <w:r>
              <w:rPr>
                <w:rFonts w:ascii="Arial" w:cs="Arial" w:eastAsia="Arial" w:hAnsi="Arial"/>
                <w:sz w:val="18"/>
                <w:szCs w:val="18"/>
                <w:color w:val="auto"/>
              </w:rPr>
              <w:t>52.0%</w:t>
            </w:r>
          </w:p>
        </w:tc>
        <w:tc>
          <w:tcPr>
            <w:tcW w:w="1360" w:type="dxa"/>
            <w:vAlign w:val="bottom"/>
          </w:tcPr>
          <w:p>
            <w:pPr>
              <w:spacing w:after="0"/>
              <w:rPr>
                <w:sz w:val="20"/>
                <w:szCs w:val="20"/>
                <w:color w:val="auto"/>
              </w:rPr>
            </w:pPr>
          </w:p>
        </w:tc>
      </w:tr>
      <w:tr>
        <w:trPr>
          <w:trHeight w:val="418"/>
        </w:trPr>
        <w:tc>
          <w:tcPr>
            <w:tcW w:w="6820" w:type="dxa"/>
            <w:vAlign w:val="bottom"/>
            <w:gridSpan w:val="2"/>
          </w:tcPr>
          <w:p>
            <w:pPr>
              <w:jc w:val="right"/>
              <w:ind w:right="930"/>
              <w:spacing w:after="0"/>
              <w:rPr>
                <w:sz w:val="20"/>
                <w:szCs w:val="20"/>
                <w:color w:val="auto"/>
              </w:rPr>
            </w:pPr>
            <w:r>
              <w:rPr>
                <w:rFonts w:ascii="Arial" w:cs="Arial" w:eastAsia="Arial" w:hAnsi="Arial"/>
                <w:sz w:val="18"/>
                <w:szCs w:val="18"/>
                <w:color w:val="auto"/>
              </w:rPr>
              <w:t>17</w:t>
            </w: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58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3060" w:firstLine="8"/>
        <w:spacing w:after="0" w:line="503" w:lineRule="auto"/>
        <w:tabs>
          <w:tab w:leader="none" w:pos="2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Warrants, stock-based compensation, stock options, restricted stock and restricted stock units (continued) Restricted stock</w:t>
      </w:r>
    </w:p>
    <w:p>
      <w:pPr>
        <w:spacing w:after="0" w:line="1"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Restricted common stock awards represent shares of common stock issued to employees subject to forfeiture if the vesting conditions are no satisfied. In December 2014, the Company issued 78,912 shares of restricted common stock to a director of the Company under the 2007 Plan. Under the terms of the agreement, shares of common stock issued are subject to a four year vesting schedule. Vesting occurs periodically at specified time intervals and specified percentages. In January 2015, the Company issued 781,060 shares of restricted common stock to an executive of the Company under the 2007 Plan. The majority of these shares were issued subject to a four year vesting schedule with 25% vesting on the first anniversary and the remaining vesting 75% ratably on a monthly basis over the remaining three years, while another portion was issued subject to performance based vesting. The vesting of performance based awards is dependent upon achievement of specified financial targets of the Company. The majority of the performance criteria were achieved during the years ended December 31, 2016 and 2015 and the remaining unvested awards with performance conditions are not material. No restricted stock awards were granted during the three months ended March 31, 2018. A summary of restricted stock activity is as follows:</w:t>
      </w:r>
    </w:p>
    <w:p>
      <w:pPr>
        <w:spacing w:after="0" w:line="146"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6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177,192</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Vested</w:t>
            </w: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(49,764)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common stock as of March 31,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127,428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expense related to awards granted to employees and directors was $0.2 million and $0.2 million for the three months ended March 31, 2018 and 2017, respectively.</w:t>
      </w:r>
    </w:p>
    <w:p>
      <w:pPr>
        <w:spacing w:after="0" w:line="170"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At March 31, 2018, there was $0.3 million of total unrecognized compensation cost related to unvested restricted stock, which is expected to be recognized over the remaining weighted-average vesting period of 0.5 years.</w:t>
      </w:r>
    </w:p>
    <w:p>
      <w:pPr>
        <w:spacing w:after="0" w:line="17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aggregate fair value of restricted stock awards that vested during the three months ended March 31, 2018, based on estimated fair values of the stock underlying the restricted stock awards on the day of vesting, was $1.0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ectPr>
          <w:pgSz w:w="11900" w:h="16838" w:orient="portrait"/>
          <w:cols w:equalWidth="0" w:num="1">
            <w:col w:w="11460"/>
          </w:cols>
          <w:pgMar w:left="240" w:top="121" w:right="199" w:bottom="0" w:gutter="0" w:footer="0" w:header="0"/>
        </w:sectPr>
      </w:pPr>
    </w:p>
    <w:bookmarkStart w:id="12" w:name="page13"/>
    <w:bookmarkEnd w:id="12"/>
    <w:p>
      <w:pPr>
        <w:ind w:right="120" w:firstLine="648"/>
        <w:spacing w:after="0" w:line="276" w:lineRule="auto"/>
        <w:rPr>
          <w:sz w:val="20"/>
          <w:szCs w:val="20"/>
          <w:color w:val="auto"/>
        </w:rPr>
      </w:pPr>
      <w:r>
        <w:rPr>
          <w:rFonts w:ascii="Arial" w:cs="Arial" w:eastAsia="Arial" w:hAnsi="Arial"/>
          <w:sz w:val="17"/>
          <w:szCs w:val="17"/>
          <w:color w:val="auto"/>
        </w:rPr>
        <w:t>Restricted stock units represent the right to receive shares of common stock upon meeting specified vesting requirements. In February 2018, the Company issued 26,000 restricted stock units to employees of the Company under the 2017 Plan. Under the terms of the agreements, 14,000 of the restricted stock units issued are subject to a four year vesting schedule with 25% vesting on the first anniversary and the remaining vesting 75% ratably on a monthly basis over the remaining three years and 12,000 of the restricted stock units issued are subject to 21 month vesting with 50% vesting on December 31, 2018 and 50% vesting on December 31, 2019. A summary of restricted stock unit activity is as follows:</w:t>
      </w:r>
    </w:p>
    <w:p>
      <w:pPr>
        <w:spacing w:after="0" w:line="152"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6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2"/>
                <w:szCs w:val="12"/>
                <w:color w:val="auto"/>
              </w:rPr>
            </w:pPr>
          </w:p>
        </w:tc>
        <w:tc>
          <w:tcPr>
            <w:tcW w:w="15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fair value</w:t>
            </w:r>
          </w:p>
        </w:tc>
        <w:tc>
          <w:tcPr>
            <w:tcW w:w="0" w:type="dxa"/>
            <w:vAlign w:val="bottom"/>
          </w:tcPr>
          <w:p>
            <w:pPr>
              <w:spacing w:after="0"/>
              <w:rPr>
                <w:sz w:val="1"/>
                <w:szCs w:val="1"/>
                <w:color w:val="auto"/>
              </w:rPr>
            </w:pPr>
          </w:p>
        </w:tc>
      </w:tr>
      <w:tr>
        <w:trPr>
          <w:trHeight w:val="171"/>
        </w:trPr>
        <w:tc>
          <w:tcPr>
            <w:tcW w:w="5740" w:type="dxa"/>
            <w:vAlign w:val="bottom"/>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stock units as of December 31, 2017</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26,000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18.99</w:t>
            </w:r>
          </w:p>
        </w:tc>
        <w:tc>
          <w:tcPr>
            <w:tcW w:w="0" w:type="dxa"/>
            <w:vAlign w:val="bottom"/>
          </w:tcPr>
          <w:p>
            <w:pPr>
              <w:spacing w:after="0"/>
              <w:rPr>
                <w:sz w:val="1"/>
                <w:szCs w:val="1"/>
                <w:color w:val="auto"/>
              </w:rPr>
            </w:pPr>
          </w:p>
        </w:tc>
      </w:tr>
      <w:tr>
        <w:trPr>
          <w:trHeight w:val="210"/>
        </w:trPr>
        <w:tc>
          <w:tcPr>
            <w:tcW w:w="5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Unvested restricted stock units as of March 31, 2018</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26,000</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expense related to awards granted to employees and directors was less than $0.1 million for the three months ended March 31, 2018.</w:t>
      </w:r>
    </w:p>
    <w:p>
      <w:pPr>
        <w:spacing w:after="0" w:line="23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At March 31, 2018, there was $0.5 million of total unrecognized compensation cost related to unvested restricted stock, which is expected to be recognized over the remaining weighted-average vesting period of 3.0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8660" w:firstLine="8"/>
        <w:spacing w:after="0" w:line="566" w:lineRule="auto"/>
        <w:tabs>
          <w:tab w:leader="none" w:pos="26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License agreements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Tufts University</w:t>
      </w:r>
    </w:p>
    <w:p>
      <w:pPr>
        <w:spacing w:after="0" w:line="225"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In June 2007, 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The License Agreement, which was subsequently amended, is exclusive and sub licensable, and will continue in effect on a country by country basis as long as there is a valid claim of a licensed patent in a country. The Company was committed to pay license and maintenance fees, prior to commercialization, in addition to low single digit royalties on direct sales and services and a royalty on sublicense income. During the three months ended March 31, 2018 and 2017, the Company recorded royalty expense of $0.1 million and $0.1 million, respectively, in cost of product revenue on the consolidated statements of operations and comprehensive loss.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licenses</w:t>
      </w:r>
    </w:p>
    <w:p>
      <w:pPr>
        <w:spacing w:after="0" w:line="225"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During the year ended December 31, 2012, the Company entered into a license agreement for certain intellectual property with a third party. The non-exclusive, non-sublicenseable third party’s license provides the Company access to certain patents specifically for protein detection, and shall be in effect until the expiration of the last licensed patent. In consideration for these rights, the Company committed to certain license fees, milestone payments, minimum annual royalties and a mid-single digit royalty. The Company is required to make mid-single digit royalty payments on net sales of products and services which utilize the licensed technology. The Company must pay the greater of calculated royalties on net sales or an annual minimum royalty of $50 thousand. During the three months ended March 31, 2018 and 2017, the Company recorded royalty expense of less than $0.1 million and $0.1 million, respectively, in cost of product revenue on the consolidated statements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commitments</w:t>
      </w:r>
    </w:p>
    <w:p>
      <w:pPr>
        <w:spacing w:after="0" w:line="229"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During the year ended December 31, 2014, the Company entered into a lease agreement for the Company’s current corporate headquarters with a lease term that expires in June 2020 which can be extended to June 2023. The lease agreement contains a period of free rent and annual increases to rental amounts.</w:t>
      </w:r>
    </w:p>
    <w:p>
      <w:pPr>
        <w:spacing w:after="0" w:line="181"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In connection with the acquisition of Aushon in January 2018, the Company assumed the existing Aushon lease for facilities in Billerica, Massachesetts. The lease expires in February 2021.</w:t>
      </w:r>
    </w:p>
    <w:p>
      <w:pPr>
        <w:spacing w:after="0" w:line="170"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Rent expense is recognized straight-line over the course of the lease term. As of March 31, 2018, $0.1 million of deferred rent expense was recorded in other non-current liabilities, and less than $0.1 million was recorded in other accrued expenses.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31, 2018, the minimum future rent payments under the lease agreements are as follows (in thousands):</w:t>
      </w:r>
    </w:p>
    <w:p>
      <w:pPr>
        <w:spacing w:after="0" w:line="24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Years ending December 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Remainder of 2018</w:t>
            </w:r>
          </w:p>
        </w:tc>
        <w:tc>
          <w:tcPr>
            <w:tcW w:w="520" w:type="dxa"/>
            <w:vAlign w:val="bottom"/>
            <w:gridSpan w:val="2"/>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1,020</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1,399</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2020</w:t>
            </w: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The Company recorded $0.3 million and $0.3 million in rent expense for the three months ended March 31, 2018 and 2017,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341" w:right="239" w:bottom="0" w:gutter="0" w:footer="0" w:header="0"/>
        </w:sectPr>
      </w:pPr>
    </w:p>
    <w:bookmarkStart w:id="13" w:name="page14"/>
    <w:bookmarkEnd w:id="13"/>
    <w:p>
      <w:pPr>
        <w:spacing w:after="0"/>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7720" w:firstLine="8"/>
        <w:spacing w:after="0" w:line="566" w:lineRule="auto"/>
        <w:tabs>
          <w:tab w:leader="none" w:pos="26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(continued) Development and supply agreement</w:t>
      </w:r>
    </w:p>
    <w:p>
      <w:pPr>
        <w:spacing w:after="0" w:line="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Through the Company’s development agreement with STRATEC Biomedical, as amended in December 2016, the parties agreed on additional development services for an additional fee, which is payable when the additional development is completed. A total of $1.5 million is payable to STRATEC upon completion of the development activities. This amount is being recorded to research and development expense and accrued expenses as the services are performed. The services are expected to be completed during the year ending December 31, 2018. Substantive efforts related to these additional development activities started in the first quarter of 2017.</w:t>
      </w:r>
    </w:p>
    <w:p>
      <w:pPr>
        <w:spacing w:after="0" w:line="188" w:lineRule="exact"/>
        <w:rPr>
          <w:sz w:val="20"/>
          <w:szCs w:val="20"/>
          <w:color w:val="auto"/>
        </w:rPr>
      </w:pPr>
    </w:p>
    <w:p>
      <w:pPr>
        <w:ind w:right="160" w:firstLine="648"/>
        <w:spacing w:after="0" w:line="288" w:lineRule="auto"/>
        <w:rPr>
          <w:sz w:val="20"/>
          <w:szCs w:val="20"/>
          <w:color w:val="auto"/>
        </w:rPr>
      </w:pPr>
      <w:r>
        <w:rPr>
          <w:rFonts w:ascii="Arial" w:cs="Arial" w:eastAsia="Arial" w:hAnsi="Arial"/>
          <w:sz w:val="16"/>
          <w:szCs w:val="16"/>
          <w:color w:val="auto"/>
        </w:rPr>
        <w:t>The Company’s supply agreement with STRATEC Biomedical requires the Company to purchase a minimum number of commercial units over a seven-year period ending in May 2021. If the Company were to fail to purchase a required number of commercial units, the Company would be obligated to pay termination costs and in addition a fee based on the shortfall of commercial units purchased compared to the required minimum amount. Based on the number of commercial instruments purchased as of March 31, 2018, assuming no additional commercial units were purchased, this fee would equal $11.9 million. The amount the Company could be obligated to pay under the minimum purchase commitment is reduced as each commercial unit is purchased. Also, if the Company terminates the Supply Agreement under certain circumstances and has not purchased a required number of commercial units, it would be obligated to issue warrants to purchase 93,341 shares of common stock (the Supply Warrants) at $0.003214 per share. The Company believes that it will purchase sufficient units to meet the requirements of the minimum purchase commitment and, therefore, has not accrued for any of the potential cash consideration. The Supply Warrants are accounted for at fair value; however, the fair value of the Supply Warrants as of March 31, 2018 and December 31, 2017 was insignificant as there was a low probability of the warrants being issued.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contingencies</w:t>
      </w:r>
    </w:p>
    <w:p>
      <w:pPr>
        <w:spacing w:after="0" w:line="229"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Company is subject to claims in the ordinary course of business; however, the Company is not currently a party to any pending or threatened litigation, the outcome of which would be expected to have a material adverse effect on its financial condition or the results of its operations. The Company accrues for contingent liabilities to the extent that the liability is probable and estimable.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April 14, 2014, the Company executed a Loan Agreement with a lender, as subsequently amended in March 2015, January 2016 and</w:t>
      </w:r>
    </w:p>
    <w:p>
      <w:pPr>
        <w:spacing w:after="0" w:line="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March 2017. As of March 31, 2018, there were no additional amounts available to borrow under the debt facility. The interest rate on this term loan is variable based on a calculation of the prime rate less 5.25% with a minimum interest rate of 8%. Interest is paid monthly beginning the month following the borrowing date. At loan inception and in connection with the amendments, the Company issued the lender warrants to purchase shares of stock. The Loan Agreement also contains prepayment penalties and an end of term charge. Fees incurred in execution of the agreements, and the fair value of warrants on the date of grant were accounted for as a reduction in the book value of debt and accreted through interest expense, using the effective interest rate method, over the term of the debt.</w:t>
      </w:r>
    </w:p>
    <w:p>
      <w:pPr>
        <w:spacing w:after="0" w:line="194" w:lineRule="exact"/>
        <w:rPr>
          <w:sz w:val="20"/>
          <w:szCs w:val="20"/>
          <w:color w:val="auto"/>
        </w:rPr>
      </w:pPr>
    </w:p>
    <w:p>
      <w:pPr>
        <w:ind w:right="200" w:firstLine="648"/>
        <w:spacing w:after="0" w:line="264" w:lineRule="auto"/>
        <w:rPr>
          <w:sz w:val="20"/>
          <w:szCs w:val="20"/>
          <w:color w:val="auto"/>
        </w:rPr>
      </w:pPr>
      <w:r>
        <w:rPr>
          <w:rFonts w:ascii="Arial" w:cs="Arial" w:eastAsia="Arial" w:hAnsi="Arial"/>
          <w:sz w:val="18"/>
          <w:szCs w:val="18"/>
          <w:color w:val="auto"/>
        </w:rPr>
        <w:t>The end of term charge of $0.5 million, and principal amounts of $0.5 million were paid during the three months ended March 31, 2018. As of March 31, 2018 the remaining loan balance is classified as a current liability since all principal payments are due within twelve months of the balance sheet date.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payment obligations due based on principal payments commencing on March 1, 2018, are as follows (in thousands):</w:t>
      </w:r>
    </w:p>
    <w:p>
      <w:pPr>
        <w:spacing w:after="0" w:line="240"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660" w:type="dxa"/>
            <w:vAlign w:val="bottom"/>
            <w:shd w:val="clear" w:color="auto" w:fill="CCEEFF"/>
          </w:tcPr>
          <w:p>
            <w:pPr>
              <w:jc w:val="right"/>
              <w:ind w:right="5570"/>
              <w:spacing w:after="0"/>
              <w:rPr>
                <w:sz w:val="20"/>
                <w:szCs w:val="20"/>
                <w:color w:val="auto"/>
              </w:rPr>
            </w:pPr>
            <w:r>
              <w:rPr>
                <w:rFonts w:ascii="Arial" w:cs="Arial" w:eastAsia="Arial" w:hAnsi="Arial"/>
                <w:sz w:val="18"/>
                <w:szCs w:val="18"/>
                <w:color w:val="auto"/>
                <w:w w:val="88"/>
              </w:rPr>
              <w:t>Years ending December 31:</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jc w:val="right"/>
              <w:ind w:right="7030"/>
              <w:spacing w:after="0"/>
              <w:rPr>
                <w:sz w:val="20"/>
                <w:szCs w:val="20"/>
                <w:color w:val="auto"/>
              </w:rPr>
            </w:pPr>
            <w:r>
              <w:rPr>
                <w:rFonts w:ascii="Arial" w:cs="Arial" w:eastAsia="Arial" w:hAnsi="Arial"/>
                <w:sz w:val="18"/>
                <w:szCs w:val="18"/>
                <w:color w:val="auto"/>
              </w:rPr>
              <w:t>2018</w:t>
            </w:r>
          </w:p>
        </w:tc>
        <w:tc>
          <w:tcPr>
            <w:tcW w:w="520" w:type="dxa"/>
            <w:vAlign w:val="bottom"/>
            <w:gridSpan w:val="2"/>
          </w:tcPr>
          <w:p>
            <w:pPr>
              <w:jc w:val="right"/>
              <w:ind w:right="390"/>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4,161</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jc w:val="right"/>
              <w:ind w:right="7030"/>
              <w:spacing w:after="0"/>
              <w:rPr>
                <w:sz w:val="20"/>
                <w:szCs w:val="20"/>
                <w:color w:val="auto"/>
              </w:rPr>
            </w:pPr>
            <w:r>
              <w:rPr>
                <w:rFonts w:ascii="Arial" w:cs="Arial" w:eastAsia="Arial" w:hAnsi="Arial"/>
                <w:sz w:val="18"/>
                <w:szCs w:val="18"/>
                <w:color w:val="auto"/>
              </w:rPr>
              <w:t>2019</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4,430</w:t>
            </w:r>
          </w:p>
        </w:tc>
        <w:tc>
          <w:tcPr>
            <w:tcW w:w="80" w:type="dxa"/>
            <w:vAlign w:val="bottom"/>
            <w:shd w:val="clear" w:color="auto" w:fill="CCEEFF"/>
          </w:tcPr>
          <w:p>
            <w:pPr>
              <w:spacing w:after="0"/>
              <w:rPr>
                <w:sz w:val="18"/>
                <w:szCs w:val="18"/>
                <w:color w:val="auto"/>
              </w:rPr>
            </w:pPr>
          </w:p>
        </w:tc>
      </w:tr>
      <w:tr>
        <w:trPr>
          <w:trHeight w:val="210"/>
        </w:trPr>
        <w:tc>
          <w:tcPr>
            <w:tcW w:w="7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Notes payable (continued)</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Non-cash interest expense related to debt discount amortization and accretion of end of term fees was $0.1 million and $0.1 million for the year ended March 31, 2018 and 2017,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Collaboration and license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Joint development and license agreement (JDLA)</w:t>
      </w:r>
    </w:p>
    <w:p>
      <w:pPr>
        <w:sectPr>
          <w:pgSz w:w="11900" w:h="16838" w:orient="portrait"/>
          <w:cols w:equalWidth="0" w:num="1">
            <w:col w:w="11420"/>
          </w:cols>
          <w:pgMar w:left="240" w:top="517" w:right="239" w:bottom="0" w:gutter="0" w:footer="0" w:header="0"/>
        </w:sectPr>
      </w:pPr>
    </w:p>
    <w:bookmarkStart w:id="14" w:name="page15"/>
    <w:bookmarkEnd w:id="14"/>
    <w:p>
      <w:pPr>
        <w:ind w:right="220" w:firstLine="648"/>
        <w:spacing w:after="0" w:line="257" w:lineRule="auto"/>
        <w:rPr>
          <w:sz w:val="20"/>
          <w:szCs w:val="20"/>
          <w:color w:val="auto"/>
        </w:rPr>
      </w:pPr>
      <w:r>
        <w:rPr>
          <w:rFonts w:ascii="Arial" w:cs="Arial" w:eastAsia="Arial" w:hAnsi="Arial"/>
          <w:sz w:val="18"/>
          <w:szCs w:val="18"/>
          <w:color w:val="auto"/>
        </w:rPr>
        <w:t>The Company’s JDLA with bioMérieux, a related party, was amended in 2016. Following the amendment, a total of $3.2 million of consideration was assigned to the deliverables and collaboration activities outlined in the amendment to the JDLA. The consideration of $3.2 million will be recognized over the performance period which began in the fourth quarter 2016 and is expected to be completed in the year ending December 31, 2019. The Company recognized revenue of $0.3 million for the three months ended March 31, 2018 as collaboration revenue and as of March 31, 2018, $1.9 million of arrangement consideration remains in deferred revenue.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and option agreements and license agreement</w:t>
      </w:r>
    </w:p>
    <w:p>
      <w:pPr>
        <w:spacing w:after="0" w:line="225"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In 2015, the Company entered into three agreements, for three separate fields, with a diagnostic company for the evaluation of the Company’s Simoa technology. These agreements each allowed for the option to negotiate a license agreement. In return, the Company received non-refundable payments totaling $2.0 million. In December 2016, the diagnostic company exercised one of its options and the parties entered into a license agreement in one of the fields. This agreement has a one-time non-refundable license fee of $1.0 million and the right to receive running low single digit royalties on licensed products. The negotiation periods for the other two agreements were extended and the negotiations remain ongoing.</w:t>
      </w:r>
    </w:p>
    <w:p>
      <w:pPr>
        <w:spacing w:after="0" w:line="173"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Upon execution of the license in one of the fields in December 2016, the $1.0 million license fee, in addition to the $0.8 million allocated to the option for this field, resulted in a total of $1.8 million of consideration being recognized as revenue as there were no remaining undelivered performance obligations. Because the negotiations remain ongoing with respect to the other two fields, the consideration allocated to these options of $1.2 million has been deferred and is recorded as deferred revenue as of March 31, 2018 and December 31,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combinations</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On January 30, 2018, the Company completed the acquisition of all the rights to Aushon pursuant to an Agreement and Plan of Merger dated January 30, 2018 (the “Aushon Acquisition”). The Company acquired Aushon as a compliment to its existing product line, improve its existing research and development capabilities in assay development and software engineering, and to expand its customer base. The Aushon Acquisition has been accounted for as a business combination and, in accordance with ASC 805, the Company has recorded the assets acquired and liabilities assumed at their respective fair values as of the acquisition date.</w:t>
      </w:r>
    </w:p>
    <w:p>
      <w:pPr>
        <w:spacing w:after="0" w:line="188"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In connection with the closing of the Aushon Acquisition, the Company paid $3.2 million at closing with an additional $0.8 million placed in escrow. Upon the six-month anniversary following the acquisition date, the $0.8 million will be payable to the sellers after adjustment for any indemnified losses incurred by the Company associated with representations and warranties made by Aushon and the selling stockholders.</w:t>
      </w:r>
    </w:p>
    <w:p>
      <w:pPr>
        <w:spacing w:after="0" w:line="16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The purchase price allocation is considered preliminary, and additional adjustments may be recorded during the allocation period in accordance with ASC 805. The purchase price allocation will be finalized as the Company receives additional information relevant to the acquisition, including the final valuation and reconciliation of the assets purchased, including tangible and intangible assets, and liabilities assumed.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combinations (continued)</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 presents the preliminary allocation of the purchase consideration for the transaction as of January 30, 2018 including the contingent consideration and the preliminary allocation of the purchase consideration (in thousands):</w:t>
      </w:r>
    </w:p>
    <w:p>
      <w:pPr>
        <w:spacing w:after="0" w:line="185"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transferred:</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w:t>
            </w: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3,200</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Obligation to issue cash</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800</w:t>
            </w:r>
          </w:p>
        </w:tc>
        <w:tc>
          <w:tcPr>
            <w:tcW w:w="80" w:type="dxa"/>
            <w:vAlign w:val="bottom"/>
            <w:shd w:val="clear" w:color="auto" w:fill="CCEEFF"/>
          </w:tcPr>
          <w:p>
            <w:pPr>
              <w:spacing w:after="0"/>
              <w:rPr>
                <w:sz w:val="18"/>
                <w:szCs w:val="18"/>
                <w:color w:val="auto"/>
              </w:rPr>
            </w:pPr>
          </w:p>
        </w:tc>
      </w:tr>
      <w:tr>
        <w:trPr>
          <w:trHeight w:val="250"/>
        </w:trPr>
        <w:tc>
          <w:tcPr>
            <w:tcW w:w="6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acquisition consideration</w:t>
            </w:r>
          </w:p>
        </w:tc>
        <w:tc>
          <w:tcPr>
            <w:tcW w:w="20" w:type="dxa"/>
            <w:vAlign w:val="bottom"/>
            <w:tcBorders>
              <w:bottom w:val="single" w:sz="8" w:color="CCEEFF"/>
            </w:tcBorders>
          </w:tcPr>
          <w:p>
            <w:pPr>
              <w:spacing w:after="0"/>
              <w:rPr>
                <w:sz w:val="21"/>
                <w:szCs w:val="21"/>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r>
      <w:tr>
        <w:trPr>
          <w:trHeight w:val="197"/>
        </w:trPr>
        <w:tc>
          <w:tcPr>
            <w:tcW w:w="60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Fair value of assets acquired and liabilities assumed:</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gridSpan w:val="2"/>
          </w:tcPr>
          <w:p>
            <w:pPr>
              <w:jc w:val="right"/>
              <w:ind w:right="305"/>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Inventory</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828</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Property and equipment and other non-current assets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180</w:t>
            </w:r>
          </w:p>
        </w:tc>
        <w:tc>
          <w:tcPr>
            <w:tcW w:w="8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2,950</w:t>
            </w:r>
          </w:p>
        </w:tc>
        <w:tc>
          <w:tcPr>
            <w:tcW w:w="8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Goodwill</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1,308</w:t>
            </w:r>
          </w:p>
        </w:tc>
        <w:tc>
          <w:tcPr>
            <w:tcW w:w="80" w:type="dxa"/>
            <w:vAlign w:val="bottom"/>
          </w:tcPr>
          <w:p>
            <w:pPr>
              <w:spacing w:after="0"/>
              <w:rPr>
                <w:sz w:val="18"/>
                <w:szCs w:val="18"/>
                <w:color w:val="auto"/>
              </w:rPr>
            </w:pPr>
          </w:p>
        </w:tc>
      </w:tr>
      <w:tr>
        <w:trPr>
          <w:trHeight w:val="210"/>
        </w:trPr>
        <w:tc>
          <w:tcPr>
            <w:tcW w:w="6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Contractual obligations</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(1,155)</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liabilities</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(591)</w:t>
            </w:r>
          </w:p>
        </w:tc>
      </w:tr>
      <w:tr>
        <w:trPr>
          <w:trHeight w:val="210"/>
        </w:trPr>
        <w:tc>
          <w:tcPr>
            <w:tcW w:w="6080" w:type="dxa"/>
            <w:vAlign w:val="bottom"/>
          </w:tcPr>
          <w:p>
            <w:pPr>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The intangible assets identified in the purchase price allocation discussed above include developed technology, trade names and customer relationships. Trade names are amortized over the useful life on a straight-line basis, while developed technology and customer relationships are amortized over their respective useful lives on an accelerated basis reflecting the period of expected derived benefits of the underlying assets. Developed technology consists of products that have reached technological feasibility and trade names represent acquired company and product names. To value the developed technology and trade name assets, the Company utilized a relief from royalty method. Under the methodology, fair value is calculated as the discounted cash flow savings accruing to the owner for not having to pay the royalty. Key assumptions included expected revenue attributable to the assets, royalty rates, discount rate and estimated asset lives. Customer relationships represent the underlying relationships with certain customers to provide ongoing services and</w:t>
      </w:r>
    </w:p>
    <w:p>
      <w:pPr>
        <w:sectPr>
          <w:pgSz w:w="11900" w:h="16838" w:orient="portrait"/>
          <w:cols w:equalWidth="0" w:num="1">
            <w:col w:w="11400"/>
          </w:cols>
          <w:pgMar w:left="240" w:top="125" w:right="259" w:bottom="0" w:gutter="0" w:footer="0" w:header="0"/>
        </w:sectPr>
      </w:pPr>
    </w:p>
    <w:bookmarkStart w:id="15" w:name="page16"/>
    <w:bookmarkEnd w:id="15"/>
    <w:p>
      <w:pPr>
        <w:ind w:right="280"/>
        <w:spacing w:after="0" w:line="291" w:lineRule="auto"/>
        <w:rPr>
          <w:sz w:val="20"/>
          <w:szCs w:val="20"/>
          <w:color w:val="auto"/>
        </w:rPr>
      </w:pPr>
      <w:r>
        <w:rPr>
          <w:rFonts w:ascii="Arial" w:cs="Arial" w:eastAsia="Arial" w:hAnsi="Arial"/>
          <w:sz w:val="16"/>
          <w:szCs w:val="16"/>
          <w:color w:val="auto"/>
        </w:rPr>
        <w:t xml:space="preserve">continued product sale opportunities. The Company utilized excess earnings methodology to derive the fair value of the customer relationships. Key assumptions included expected attrition of customers rates, operating income margins and discount rate. </w:t>
      </w:r>
      <w:r>
        <w:rPr>
          <w:rFonts w:ascii="Arial" w:cs="Arial" w:eastAsia="Arial" w:hAnsi="Arial"/>
          <w:sz w:val="15"/>
          <w:szCs w:val="15"/>
          <w:color w:val="auto"/>
        </w:rPr>
        <w:t>The Company used a risk-adjusted discount rate of</w:t>
      </w:r>
    </w:p>
    <w:p>
      <w:pPr>
        <w:spacing w:after="0"/>
        <w:rPr>
          <w:sz w:val="20"/>
          <w:szCs w:val="20"/>
          <w:color w:val="auto"/>
        </w:rPr>
      </w:pPr>
      <w:r>
        <w:rPr>
          <w:rFonts w:ascii="Arial" w:cs="Arial" w:eastAsia="Arial" w:hAnsi="Arial"/>
          <w:sz w:val="18"/>
          <w:szCs w:val="18"/>
          <w:color w:val="auto"/>
        </w:rPr>
        <w:t>14.4% in determining the fair value of the intangible assets.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combinations (continued)</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goodwill recorded as a result of the Aushon Acquisition represents the strategic benefits of growing the Company’s product portfolio and the expected revenue growth from increased market penetration from future products and customers.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Company incurred a total of $0.1 million in transaction costs in connection with the transaction, which were included in selling, general and administrative expense within the consolidated statement of operations for the three months ended March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Goodwill and Acquired Intangible Assets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As of March 31, 2018 the carrying amount of goodwill was $1.3 million. The following is a rollforward of our goodwill balance (in thousands):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Goodwill</w:t>
            </w: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December 31, 2017</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Goodwill acquired</w:t>
            </w:r>
          </w:p>
        </w:tc>
        <w:tc>
          <w:tcPr>
            <w:tcW w:w="2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1,308</w:t>
            </w:r>
          </w:p>
        </w:tc>
      </w:tr>
      <w:tr>
        <w:trPr>
          <w:trHeight w:val="210"/>
        </w:trPr>
        <w:tc>
          <w:tcPr>
            <w:tcW w:w="7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31, 2018</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right="6220" w:hanging="332"/>
        <w:spacing w:after="0" w:line="560" w:lineRule="auto"/>
        <w:tabs>
          <w:tab w:leader="none" w:pos="286"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Goodwill and Acquired Intangible Assets (continued) </w:t>
      </w:r>
      <w:r>
        <w:rPr>
          <w:rFonts w:ascii="Arial" w:cs="Arial" w:eastAsia="Arial" w:hAnsi="Arial"/>
          <w:sz w:val="16"/>
          <w:szCs w:val="16"/>
          <w:color w:val="auto"/>
        </w:rPr>
        <w:t>Purchased intangible assets consist of the following (in thousands):</w:t>
      </w:r>
    </w:p>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171"/>
        </w:trPr>
        <w:tc>
          <w:tcPr>
            <w:tcW w:w="1920" w:type="dxa"/>
            <w:vAlign w:val="bottom"/>
          </w:tcPr>
          <w:p>
            <w:pPr>
              <w:spacing w:after="0"/>
              <w:rPr>
                <w:sz w:val="14"/>
                <w:szCs w:val="14"/>
                <w:color w:val="auto"/>
              </w:rPr>
            </w:pPr>
          </w:p>
        </w:tc>
        <w:tc>
          <w:tcPr>
            <w:tcW w:w="16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2"/>
              </w:rPr>
              <w:t>Estimated</w:t>
            </w: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2"/>
          </w:tcPr>
          <w:p>
            <w:pPr>
              <w:jc w:val="right"/>
              <w:ind w:right="420"/>
              <w:spacing w:after="0"/>
              <w:rPr>
                <w:sz w:val="20"/>
                <w:szCs w:val="20"/>
                <w:color w:val="auto"/>
              </w:rPr>
            </w:pPr>
            <w:r>
              <w:rPr>
                <w:rFonts w:ascii="Arial" w:cs="Arial" w:eastAsia="Arial" w:hAnsi="Arial"/>
                <w:sz w:val="14"/>
                <w:szCs w:val="14"/>
                <w:b w:val="1"/>
                <w:bCs w:val="1"/>
                <w:color w:val="auto"/>
                <w:w w:val="98"/>
              </w:rPr>
              <w:t>March 31, 2018</w:t>
            </w: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1920" w:type="dxa"/>
            <w:vAlign w:val="bottom"/>
          </w:tcPr>
          <w:p>
            <w:pPr>
              <w:spacing w:after="0"/>
              <w:rPr>
                <w:sz w:val="9"/>
                <w:szCs w:val="9"/>
                <w:color w:val="auto"/>
              </w:rPr>
            </w:pPr>
          </w:p>
        </w:tc>
        <w:tc>
          <w:tcPr>
            <w:tcW w:w="1640" w:type="dxa"/>
            <w:vAlign w:val="bottom"/>
            <w:gridSpan w:val="2"/>
            <w:vMerge w:val="continue"/>
          </w:tcPr>
          <w:p>
            <w:pPr>
              <w:spacing w:after="0"/>
              <w:rPr>
                <w:sz w:val="9"/>
                <w:szCs w:val="9"/>
                <w:color w:val="auto"/>
              </w:rPr>
            </w:pPr>
          </w:p>
        </w:tc>
        <w:tc>
          <w:tcPr>
            <w:tcW w:w="260" w:type="dxa"/>
            <w:vAlign w:val="bottom"/>
          </w:tcPr>
          <w:p>
            <w:pPr>
              <w:spacing w:after="0"/>
              <w:rPr>
                <w:sz w:val="9"/>
                <w:szCs w:val="9"/>
                <w:color w:val="auto"/>
              </w:rPr>
            </w:pPr>
          </w:p>
        </w:tc>
        <w:tc>
          <w:tcPr>
            <w:tcW w:w="12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8"/>
              </w:rPr>
              <w:t>Gross</w:t>
            </w: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20" w:type="dxa"/>
            <w:vAlign w:val="bottom"/>
            <w:gridSpan w:val="3"/>
            <w:vMerge w:val="restart"/>
          </w:tcPr>
          <w:p>
            <w:pPr>
              <w:jc w:val="center"/>
              <w:ind w:right="340"/>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Useful</w:t>
            </w:r>
          </w:p>
        </w:tc>
        <w:tc>
          <w:tcPr>
            <w:tcW w:w="26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2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Life</w:t>
            </w:r>
          </w:p>
        </w:tc>
        <w:tc>
          <w:tcPr>
            <w:tcW w:w="260" w:type="dxa"/>
            <w:vAlign w:val="bottom"/>
          </w:tcPr>
          <w:p>
            <w:pPr>
              <w:spacing w:after="0"/>
              <w:rPr>
                <w:sz w:val="12"/>
                <w:szCs w:val="12"/>
                <w:color w:val="auto"/>
              </w:rPr>
            </w:pPr>
          </w:p>
        </w:tc>
        <w:tc>
          <w:tcPr>
            <w:tcW w:w="12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Carrying</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22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7"/>
              </w:rPr>
              <w:t>Carrying</w:t>
            </w:r>
          </w:p>
        </w:tc>
        <w:tc>
          <w:tcPr>
            <w:tcW w:w="0" w:type="dxa"/>
            <w:vAlign w:val="bottom"/>
          </w:tcPr>
          <w:p>
            <w:pPr>
              <w:spacing w:after="0"/>
              <w:rPr>
                <w:sz w:val="1"/>
                <w:szCs w:val="1"/>
                <w:color w:val="auto"/>
              </w:rPr>
            </w:pPr>
          </w:p>
        </w:tc>
      </w:tr>
      <w:tr>
        <w:trPr>
          <w:trHeight w:val="171"/>
        </w:trPr>
        <w:tc>
          <w:tcPr>
            <w:tcW w:w="1920" w:type="dxa"/>
            <w:vAlign w:val="bottom"/>
          </w:tcPr>
          <w:p>
            <w:pPr>
              <w:spacing w:after="0"/>
              <w:rPr>
                <w:sz w:val="14"/>
                <w:szCs w:val="14"/>
                <w:color w:val="auto"/>
              </w:rPr>
            </w:pPr>
          </w:p>
        </w:tc>
        <w:tc>
          <w:tcPr>
            <w:tcW w:w="1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 years)</w:t>
            </w:r>
          </w:p>
        </w:tc>
        <w:tc>
          <w:tcPr>
            <w:tcW w:w="260" w:type="dxa"/>
            <w:vAlign w:val="bottom"/>
          </w:tcPr>
          <w:p>
            <w:pPr>
              <w:spacing w:after="0"/>
              <w:rPr>
                <w:sz w:val="14"/>
                <w:szCs w:val="14"/>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1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7</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920" w:type="dxa"/>
            <w:vAlign w:val="bottom"/>
          </w:tcPr>
          <w:p>
            <w:pPr>
              <w:spacing w:after="0" w:line="201" w:lineRule="exact"/>
              <w:rPr>
                <w:sz w:val="20"/>
                <w:szCs w:val="20"/>
                <w:color w:val="auto"/>
              </w:rPr>
            </w:pPr>
            <w:r>
              <w:rPr>
                <w:rFonts w:ascii="Arial" w:cs="Arial" w:eastAsia="Arial" w:hAnsi="Arial"/>
                <w:sz w:val="18"/>
                <w:szCs w:val="18"/>
                <w:color w:val="auto"/>
              </w:rPr>
              <w:t>Customer</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920" w:type="dxa"/>
            <w:vAlign w:val="bottom"/>
          </w:tcPr>
          <w:p>
            <w:pPr>
              <w:ind w:left="180"/>
              <w:spacing w:after="0"/>
              <w:rPr>
                <w:sz w:val="20"/>
                <w:szCs w:val="20"/>
                <w:color w:val="auto"/>
              </w:rPr>
            </w:pPr>
            <w:r>
              <w:rPr>
                <w:rFonts w:ascii="Arial" w:cs="Arial" w:eastAsia="Arial" w:hAnsi="Arial"/>
                <w:sz w:val="18"/>
                <w:szCs w:val="18"/>
                <w:color w:val="auto"/>
              </w:rPr>
              <w:t>relationships</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1,250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1,212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Trade names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92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2,950</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w:t>
            </w:r>
          </w:p>
        </w:tc>
        <w:tc>
          <w:tcPr>
            <w:tcW w:w="260" w:type="dxa"/>
            <w:vAlign w:val="bottom"/>
          </w:tcPr>
          <w:p>
            <w:pPr>
              <w:jc w:val="right"/>
              <w:ind w:right="12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Company recorded amortization expense of $0.1 million for the three month period ended March 31, 2018. No amortization expense was recognized for the three months ended March 31, 2017. Amortization relating to developed technology is recorded within research and development expense, amortization of customer relationships is recorded within sales and marketing expenses, and amortization of trade names is recorded within general and administrative expenses.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Future estimated amortization expense of acquired intangibles as of March 31, 2018 is as follows (in thousands):</w:t>
      </w: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274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492</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2019</w:t>
            </w:r>
          </w:p>
        </w:tc>
        <w:tc>
          <w:tcPr>
            <w:tcW w:w="27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582</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500</w:t>
            </w:r>
          </w:p>
        </w:tc>
      </w:tr>
      <w:tr>
        <w:trPr>
          <w:trHeight w:val="216"/>
        </w:trPr>
        <w:tc>
          <w:tcPr>
            <w:tcW w:w="3560" w:type="dxa"/>
            <w:vAlign w:val="bottom"/>
          </w:tcPr>
          <w:p>
            <w:pPr>
              <w:spacing w:after="0"/>
              <w:rPr>
                <w:sz w:val="20"/>
                <w:szCs w:val="20"/>
                <w:color w:val="auto"/>
              </w:rPr>
            </w:pPr>
            <w:r>
              <w:rPr>
                <w:rFonts w:ascii="Arial" w:cs="Arial" w:eastAsia="Arial" w:hAnsi="Arial"/>
                <w:sz w:val="18"/>
                <w:szCs w:val="18"/>
                <w:color w:val="auto"/>
              </w:rPr>
              <w:t>2021</w:t>
            </w:r>
          </w:p>
        </w:tc>
        <w:tc>
          <w:tcPr>
            <w:tcW w:w="27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403</w:t>
            </w:r>
          </w:p>
        </w:tc>
      </w:tr>
      <w:tr>
        <w:trPr>
          <w:trHeight w:val="216"/>
        </w:trPr>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27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320</w:t>
            </w:r>
          </w:p>
        </w:tc>
      </w:tr>
      <w:tr>
        <w:trPr>
          <w:trHeight w:val="230"/>
        </w:trPr>
        <w:tc>
          <w:tcPr>
            <w:tcW w:w="3560" w:type="dxa"/>
            <w:vAlign w:val="bottom"/>
          </w:tcPr>
          <w:p>
            <w:pPr>
              <w:spacing w:after="0"/>
              <w:rPr>
                <w:sz w:val="20"/>
                <w:szCs w:val="20"/>
                <w:color w:val="auto"/>
              </w:rPr>
            </w:pPr>
            <w:r>
              <w:rPr>
                <w:rFonts w:ascii="Arial" w:cs="Arial" w:eastAsia="Arial" w:hAnsi="Arial"/>
                <w:sz w:val="18"/>
                <w:szCs w:val="18"/>
                <w:color w:val="auto"/>
              </w:rPr>
              <w:t>Thereafter</w:t>
            </w:r>
          </w:p>
        </w:tc>
        <w:tc>
          <w:tcPr>
            <w:tcW w:w="2740" w:type="dxa"/>
            <w:vAlign w:val="bottom"/>
          </w:tcPr>
          <w:p>
            <w:pPr>
              <w:spacing w:after="0"/>
              <w:rPr>
                <w:sz w:val="20"/>
                <w:szCs w:val="20"/>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544</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bioMérieux is a customer through its Joint Development and License Agreement and also a holder of the Company’s common stock. bioMérieux formerly also had a designee on the Company’s Board of Directors. The Company recognized revenue related to the JDLA with bioMérieux of $0.3 million and $0.3 million in the three months ended March 31, 2018 and 2017, respectively, from bioMérieux. The Company also had deferred revenue of $1.9 million and $2.1 million at March 31, 2018 and December 31, 2017, respectively.</w:t>
      </w:r>
    </w:p>
    <w:p>
      <w:pPr>
        <w:sectPr>
          <w:pgSz w:w="11900" w:h="16838" w:orient="portrait"/>
          <w:cols w:equalWidth="0" w:num="1">
            <w:col w:w="11400"/>
          </w:cols>
          <w:pgMar w:left="240" w:top="125" w:right="259" w:bottom="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Quanterix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Related party transactions (continued)</w:t>
      </w:r>
    </w:p>
    <w:p>
      <w:pPr>
        <w:spacing w:after="0" w:line="229"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entered into a license agreement (the License Agreement) for certain intellectual property with Tufts University (Tufts). Tufts is a related party to the Company due to Tuft’s equity ownership in the Company and because a board member of the Company’s Board of Directors was affiliated with Tufts. During the three months ended March 31, 2018 and 2017, the Company recorded royalty expense of $0.1 million and $0.1 million, respectively, in cost of product revenue on the consolidated statements of operations and comprehensive loss.</w:t>
      </w:r>
    </w:p>
    <w:p>
      <w:pPr>
        <w:spacing w:after="0" w:line="18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During the year ended December 31, 2017, Harvard University became a related party. Revenue recorded from sales to Harvard University were less than $0.1 million for the three months ended March 31,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The Company has evaluated, for potential recognition and disclosure, events that occurred prior to the date at which the condensed consolidated financial statements were available to be issued. There were no material subsequent events.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40" w:firstLine="441"/>
        <w:spacing w:after="0" w:line="271"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condensed consolidated financial statements and the related notes included elsewhere in this Quarterly Report on Form 10-Q and our audited financial statements and Management’s Discussion and Analysis of Financial Condition and Results of Operations included in our Annual Report on Form 10-K for the year ended December 31, 2017, filed with the SEC. In addition to historical information, the following discussion contains forward-looking statements that involve risks, uncertainties and assumptions. Our actual results, performance or experience could differ materially from what is indicated by any forward-looking statement due to various important factors, risks and uncertainties, including, but not limited to, those set forth under “Special Note Regarding Forward-Looking Statements” included elsewhere in this quarterly report or under “Risk Factors” in Item 1A of Part I of our Annual Report on Form 10-K for the year ended December 31, 2017 or other filings that we make with the SEC.</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60" w:firstLine="648"/>
        <w:spacing w:after="0" w:line="270" w:lineRule="auto"/>
        <w:rPr>
          <w:sz w:val="20"/>
          <w:szCs w:val="20"/>
          <w:color w:val="auto"/>
        </w:rPr>
      </w:pPr>
      <w:r>
        <w:rPr>
          <w:rFonts w:ascii="Arial" w:cs="Arial" w:eastAsia="Arial" w:hAnsi="Arial"/>
          <w:sz w:val="17"/>
          <w:szCs w:val="17"/>
          <w:color w:val="auto"/>
        </w:rPr>
        <w:t>We are a life sciences company that has developed a next generation, ultra-sensitive digital immunoassay platform that advances precision health for life sciences research and diagnostics. Our platform enables customers to reliably detect protein biomarkers in extremely low concentrations in blood, serum and other fluids that, in many cases, are undetectable using conventional, analog immunoassay technologies. It also allows researchers to define and validate the function of novel protein biomarkers that are only present in very low concentrations and have been discovered using technologies such as mass spectrometry. These capabilities provide our customers with insight into the role of protein biomarkers in human health that has not been possible with other existing technologies and enable researchers to unlock unique insights into the continuum between health and disease. We believe this greater insight will enable the development of novel therapies and diagnostics and facilitate a paradigm shift in healthcare from an emphasis on treatment to a focus on earlier detection, monitoring, prognosis and, ultimately, prevention. We are currently focusing our platform on protein detection, which we believe is an area of significant unmet need and where we have significant competitive advantages. In addition to enabling new applications and insights in protein analysis, we are also developing our Simoa technology to detect nucleic acids in biological samples.</w:t>
      </w:r>
    </w:p>
    <w:p>
      <w:pPr>
        <w:spacing w:after="0" w:line="178"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We currently sell all of our products for life science research, primarily to laboratories associated with academic and governmental research institutions, as well as pharmaceutical, biotechnology and contract research companies, through a direct sales force and support organizations in North America and Europe, and through distributors or sales agents in other select markets, including Australia, China, Japan, India, Lebanon, Singapore, South Korea and Taiwan. We grew our revenue from $12.2 million in 2015 to $17.6 million in 2016 and to $22.9 million in 2017, and from $5.3 million in the first quarter of 2017 to $7.5 million in the first quarter of 2018.</w:t>
      </w:r>
    </w:p>
    <w:p>
      <w:pPr>
        <w:spacing w:after="0" w:line="188" w:lineRule="exact"/>
        <w:rPr>
          <w:sz w:val="20"/>
          <w:szCs w:val="20"/>
          <w:color w:val="auto"/>
        </w:rPr>
      </w:pPr>
    </w:p>
    <w:p>
      <w:pPr>
        <w:ind w:right="240" w:firstLine="648"/>
        <w:spacing w:after="0" w:line="302" w:lineRule="auto"/>
        <w:rPr>
          <w:sz w:val="20"/>
          <w:szCs w:val="20"/>
          <w:color w:val="auto"/>
        </w:rPr>
      </w:pPr>
      <w:r>
        <w:rPr>
          <w:rFonts w:ascii="Arial" w:cs="Arial" w:eastAsia="Arial" w:hAnsi="Arial"/>
          <w:sz w:val="16"/>
          <w:szCs w:val="16"/>
          <w:color w:val="auto"/>
        </w:rPr>
        <w:t>Our instruments are designed to be used either with assays fully developed by us, including all antibodies and supplies required to run the tests, or with “homebrew” kits where we supply some of the components required for testing, and the customer supplies the remaining required elements. Accordingly, our installed instruments generate a recurring revenue stream. We believe that our recurring consumable revenue is driven by our customers’ ability to extract more valuable data using our platform and to process a large number of samples quickly with little hands-on preparation.</w:t>
      </w:r>
    </w:p>
    <w:p>
      <w:pPr>
        <w:spacing w:after="0" w:line="15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While we expect the Quanterix SR-X to generate lower consumables revenue per instrument than the Simoa HD-1 Analyzer due to its lower throughput, as the installed base of the Simoa instruments increases, total consumables revenue overall is expected to increase. We believe that consumables revenue should be subject to less period-to-period fluctuation than our instrument sales revenue, and will become an increasingly important contributor to our overall revenue.</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On January 30, 2018, we acquired Aushon Biosystems, Inc. for $3.2 million in cash, with an additional payment of $0.8 million to be made six months after the acquisition date assuming certain post-closing conditions are met. We believe that this acquisition provides us technologies and expertise to help further expand our instrument and biomarker menu. Additionally, we expect that Aushon’s CLIA-certified laboratory will help accelerate our entry into pharmaceutical services.</w:t>
      </w:r>
    </w:p>
    <w:p>
      <w:pPr>
        <w:spacing w:after="0" w:line="187"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As of March 31, 2018, we had cash and cash equivalents of $65.2 million. We had financed our operations principally through equity offerings, borrowings from credit facilities and revenue from our commercial operations.</w:t>
      </w:r>
    </w:p>
    <w:p>
      <w:pPr>
        <w:sectPr>
          <w:pgSz w:w="11900" w:h="16838" w:orient="portrait"/>
          <w:cols w:equalWidth="0" w:num="1">
            <w:col w:w="11420"/>
          </w:cols>
          <w:pgMar w:left="240" w:top="368" w:right="239" w:bottom="18" w:gutter="0" w:footer="0" w:header="0"/>
        </w:sectPr>
      </w:pPr>
    </w:p>
    <w:bookmarkStart w:id="17" w:name="page18"/>
    <w:bookmarkEnd w:id="17"/>
    <w:p>
      <w:pPr>
        <w:jc w:val="both"/>
        <w:ind w:right="340" w:firstLine="648"/>
        <w:spacing w:after="0" w:line="264" w:lineRule="auto"/>
        <w:rPr>
          <w:sz w:val="20"/>
          <w:szCs w:val="20"/>
          <w:color w:val="auto"/>
        </w:rPr>
      </w:pPr>
      <w:r>
        <w:rPr>
          <w:rFonts w:ascii="Arial" w:cs="Arial" w:eastAsia="Arial" w:hAnsi="Arial"/>
          <w:sz w:val="18"/>
          <w:szCs w:val="18"/>
          <w:color w:val="auto"/>
        </w:rPr>
        <w:t>Since inception, we have incurred net losses. Our net loss was $27.0 million, $23.2 million, and $15.9 million for the years ended December 31, 2017, 2016 and 2015, respectively, and $7.2 million and $6.4 million for the three months ended March 31, 2018 and 2017, respectively. As of March 31, 2018, we had an accumulated deficit of $151.6 million and stockholders’ equity of</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$59.3 million. We expect to continue to incur significant expenses and operating losses at least through the next 24 months. We expect our expenses will increase substantially as we:</w:t>
      </w:r>
    </w:p>
    <w:p>
      <w:pPr>
        <w:spacing w:after="0" w:line="170" w:lineRule="exact"/>
        <w:rPr>
          <w:sz w:val="20"/>
          <w:szCs w:val="20"/>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sales and marketing efforts to further commercialize our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expand our research and development efforts to improve our existing products and develop and launch new products;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hire additional personnel;</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strategically acquire complementary companies and/or technologies;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 into collaboration arrangements, if any, or in-license other products and technologies;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incur increased costs as a result of operating as a public company.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2018 and March 31, 2017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Three months ended</w:t>
            </w:r>
          </w:p>
        </w:tc>
        <w:tc>
          <w:tcPr>
            <w:tcW w:w="11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17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Three months ended</w:t>
            </w:r>
          </w:p>
        </w:tc>
        <w:tc>
          <w:tcPr>
            <w:tcW w:w="10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rPr>
              <w:t>%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vMerge w:val="restart"/>
          </w:tcPr>
          <w:p>
            <w:pPr>
              <w:jc w:val="right"/>
              <w:ind w:right="292"/>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8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8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9"/>
              </w:rPr>
              <w:t>March 31,</w:t>
            </w: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9"/>
              </w:rPr>
              <w:t>March 31,</w:t>
            </w: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2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2018</w:t>
            </w:r>
          </w:p>
        </w:tc>
        <w:tc>
          <w:tcPr>
            <w:tcW w:w="3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revenue</w:t>
            </w:r>
          </w:p>
        </w:tc>
        <w:tc>
          <w:tcPr>
            <w:tcW w:w="4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2017</w:t>
            </w:r>
          </w:p>
        </w:tc>
        <w:tc>
          <w:tcPr>
            <w:tcW w:w="220" w:type="dxa"/>
            <w:vAlign w:val="bottom"/>
            <w:tcBorders>
              <w:bottom w:val="single" w:sz="8" w:color="CCEEFF"/>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30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3"/>
              </w:rPr>
              <w:t>change</w:t>
            </w: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Service and other revenue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2,507</w:t>
            </w: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1,644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30.8%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863</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Collaboration and license revenue</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269</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7,521</w:t>
            </w: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5,338</w:t>
            </w:r>
          </w:p>
        </w:tc>
        <w:tc>
          <w:tcPr>
            <w:tcW w:w="220" w:type="dxa"/>
            <w:vAlign w:val="bottom"/>
            <w:vMerge w:val="continue"/>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2,183</w:t>
            </w:r>
          </w:p>
        </w:tc>
        <w:tc>
          <w:tcPr>
            <w:tcW w:w="220" w:type="dxa"/>
            <w:vAlign w:val="bottom"/>
            <w:vMerge w:val="continue"/>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36.9%</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2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51.2%</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1,576</w:t>
            </w: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1,144</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432</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w:t>
            </w:r>
          </w:p>
        </w:tc>
        <w:tc>
          <w:tcPr>
            <w:tcW w:w="3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4,250</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(606)</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6,691</w:t>
            </w:r>
          </w:p>
        </w:tc>
        <w:tc>
          <w:tcPr>
            <w:tcW w:w="3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89.0%</w:t>
            </w:r>
          </w:p>
        </w:tc>
        <w:tc>
          <w:tcPr>
            <w:tcW w:w="120" w:type="dxa"/>
            <w:vAlign w:val="bottom"/>
          </w:tcPr>
          <w:p>
            <w:pPr>
              <w:spacing w:after="0"/>
              <w:rPr>
                <w:sz w:val="18"/>
                <w:szCs w:val="18"/>
                <w:color w:val="auto"/>
              </w:rPr>
            </w:pP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4,166</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78.0%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2,525</w:t>
            </w: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14,684</w:t>
            </w:r>
          </w:p>
        </w:tc>
        <w:tc>
          <w:tcPr>
            <w:tcW w:w="30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195.2%</w:t>
            </w:r>
          </w:p>
        </w:tc>
        <w:tc>
          <w:tcPr>
            <w:tcW w:w="12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11,394</w:t>
            </w:r>
          </w:p>
        </w:tc>
        <w:tc>
          <w:tcPr>
            <w:tcW w:w="2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213.5%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3,290</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0"/>
        </w:trPr>
        <w:tc>
          <w:tcPr>
            <w:tcW w:w="3280" w:type="dxa"/>
            <w:vAlign w:val="bottom"/>
            <w:vMerge w:val="restart"/>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(7,163)</w:t>
            </w:r>
          </w:p>
        </w:tc>
        <w:tc>
          <w:tcPr>
            <w:tcW w:w="300" w:type="dxa"/>
            <w:vAlign w:val="bottom"/>
            <w:vMerge w:val="continue"/>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(95.2)%</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(6,056)</w:t>
            </w:r>
          </w:p>
        </w:tc>
        <w:tc>
          <w:tcPr>
            <w:tcW w:w="220" w:type="dxa"/>
            <w:vAlign w:val="bottom"/>
            <w:vMerge w:val="continue"/>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(1,107)</w:t>
            </w:r>
          </w:p>
        </w:tc>
        <w:tc>
          <w:tcPr>
            <w:tcW w:w="220" w:type="dxa"/>
            <w:vAlign w:val="bottom"/>
            <w:vMerge w:val="continue"/>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(90.6)%</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78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700" w:type="dxa"/>
            <w:vAlign w:val="bottom"/>
            <w:gridSpan w:val="2"/>
          </w:tcPr>
          <w:p>
            <w:pPr>
              <w:jc w:val="right"/>
              <w:ind w:right="160"/>
              <w:spacing w:after="0"/>
              <w:rPr>
                <w:sz w:val="20"/>
                <w:szCs w:val="20"/>
                <w:color w:val="auto"/>
              </w:rPr>
            </w:pPr>
            <w:r>
              <w:rPr>
                <w:rFonts w:ascii="Arial" w:cs="Arial" w:eastAsia="Arial" w:hAnsi="Arial"/>
                <w:sz w:val="18"/>
                <w:szCs w:val="18"/>
                <w:color w:val="auto"/>
              </w:rPr>
              <w:t>(80)</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65</w:t>
            </w:r>
          </w:p>
        </w:tc>
        <w:tc>
          <w:tcPr>
            <w:tcW w:w="2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
        </w:trPr>
        <w:tc>
          <w:tcPr>
            <w:tcW w:w="32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30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(6,391)</w:t>
            </w:r>
          </w:p>
        </w:tc>
        <w:tc>
          <w:tcPr>
            <w:tcW w:w="220" w:type="dxa"/>
            <w:vAlign w:val="bottom"/>
            <w:vMerge w:val="continue"/>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w:t>
            </w:r>
          </w:p>
        </w:tc>
        <w:tc>
          <w:tcPr>
            <w:tcW w:w="1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20" w:type="dxa"/>
            <w:vAlign w:val="bottom"/>
            <w:vMerge w:val="continue"/>
            <w:shd w:val="clear" w:color="auto" w:fill="CCEEFF"/>
          </w:tcPr>
          <w:p>
            <w:pPr>
              <w:spacing w:after="0"/>
              <w:rPr>
                <w:sz w:val="18"/>
                <w:szCs w:val="18"/>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0" w:firstLine="648"/>
        <w:spacing w:after="0" w:line="291" w:lineRule="auto"/>
        <w:rPr>
          <w:sz w:val="20"/>
          <w:szCs w:val="20"/>
          <w:color w:val="auto"/>
        </w:rPr>
      </w:pPr>
      <w:r>
        <w:rPr>
          <w:rFonts w:ascii="Arial" w:cs="Arial" w:eastAsia="Arial" w:hAnsi="Arial"/>
          <w:sz w:val="16"/>
          <w:szCs w:val="16"/>
          <w:color w:val="auto"/>
        </w:rPr>
        <w:t>Revenue increased by $2.2 million, or 40.9%, to $7.5 million for the three months ended March 31, 2018 as compared to $5.3 million for the three months ended March 31, 2017. Product revenue consisted of sales of instruments totaling $2.0 million and sales of consumables and other products of</w:t>
      </w:r>
    </w:p>
    <w:p>
      <w:pPr>
        <w:ind w:right="20"/>
        <w:spacing w:after="0" w:line="281" w:lineRule="auto"/>
        <w:rPr>
          <w:sz w:val="20"/>
          <w:szCs w:val="20"/>
          <w:color w:val="auto"/>
        </w:rPr>
      </w:pPr>
      <w:r>
        <w:rPr>
          <w:rFonts w:ascii="Arial" w:cs="Arial" w:eastAsia="Arial" w:hAnsi="Arial"/>
          <w:sz w:val="16"/>
          <w:szCs w:val="16"/>
          <w:color w:val="auto"/>
        </w:rPr>
        <w:t>$2.7 million for the three months ended March 31, 2018. Product revenue consisted of sales of instruments totaling $1.8 million and sales of consumables and other products totaling $1.6 million for the three months ended March 31, 2017. Average sales prices of instruments and consumables did not change materially in the three months ended March 31, 2018 as compared with the three months ended March 31, 2017. The increase in product revenue of</w:t>
      </w:r>
    </w:p>
    <w:p>
      <w:pPr>
        <w:spacing w:after="0" w:line="2"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$1.3 million was primarily due to the sale of more instruments in the three months ended March 31, 2018 and increased sales of consumables. The installed base of Simoa instruments increased from March 31, 2017 to March 31, 2018, and as these additional instruments were used by customers, the consumable sales increased. The increase in service and other revenue of $0.9 million was due to increased services performed in our Simoa Accelerator Laboratory; more customers are using these services, and existing customers are using the Accelerator Laboratory more frequently. Collaboration and license revenue in the three months ended March 31, 2018 consists of revenue related to the collaboration arrangement with bioMérieux that was modified in the fourth quarter of 2016.</w:t>
      </w:r>
    </w:p>
    <w:p>
      <w:pPr>
        <w:spacing w:after="0" w:line="194"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As part of the modification of the collaboration agreement with BioMerieux in the fourth quarter of 2016, we received $2.0 million in additional consideration. This additional consideration along with the deferred revenue on the date of the modification is being recognized over our estimated period of performance, which was initially determined to be 36 months. The estimated performance period is evaluated each reporting period and continues to be consistent with the initial estimate.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Product, Service and License Revenue</w:t>
      </w:r>
    </w:p>
    <w:p>
      <w:pPr>
        <w:spacing w:after="0" w:line="225"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Cost of product revenue increased by $0.9 million, or 51.2%, to $2.8 million for the three months ended March 31, 2018 as compared to $1.8 million for the three months ended March 31, 2017. The increase was primarily due to increased sales of consumables and instruments. Cost of service revenue increased to $1.6 million for the three months ended March 31, 2018 from $1.1 million for the three months ended March 31, 2017. The increase was</w:t>
      </w:r>
    </w:p>
    <w:p>
      <w:pPr>
        <w:sectPr>
          <w:pgSz w:w="11900" w:h="16838" w:orient="portrait"/>
          <w:cols w:equalWidth="0" w:num="1">
            <w:col w:w="11420"/>
          </w:cols>
          <w:pgMar w:left="240" w:top="125" w:right="239" w:bottom="0" w:gutter="0" w:footer="0" w:header="0"/>
        </w:sectPr>
      </w:pPr>
    </w:p>
    <w:bookmarkStart w:id="18" w:name="page19"/>
    <w:bookmarkEnd w:id="18"/>
    <w:p>
      <w:pPr>
        <w:spacing w:after="0" w:line="3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primarily due to higher utilization of the Simoa Accelerator Laboratory, plus increased personnel costs from the build out of our field service organization. Overall cost of goods sold as a percentage of revenue slightly increased to 57.8% of total revenue for the three months ended March 31, 2018 as compared to 55.8% for the three months ended March 31, 2017, primarily as a result of increased costs associated with the new product launch of the Quanterix SR-X and the impact of Aushon acquisition.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225"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Research and development expense decreased slightly by $0.6 million, or 14.3%, to $3.6 million for the three months ended March 31, 2018 as compared to $4.3 million for the three months ended March 31, 2017. The decrease was primarily due to a reduction in outside development costs related to our Quanterix SR-X instrument for which development was completed and product launched commercially in the fourth quarter of 2017. The reduction in project costs for the Quanterix SR-X instrument offset an increase in research and development costs due to increased headcount in research and development and the increased use of outside development firms as we increased our new product development efforts.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225"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Selling, general and administrative expense increased by $2.5 million, or 60.6%, to $6.7 million for the three months ended March 31, 2018 as compared to $4.2 million for the same period in 2017. The increase was primarily due to headcount additions in various departments as we build out our organization to support future growth, public company costs, transaction fees and amortization of intangibles associated with the Aushon acquisition, and stock compensation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Expense, Net</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Interest and other expense, net decreased by $0.2 million, to $0.02 million for the three months ended March 31, 2018 as compared to $0.3 million for the same period in 2017, primarily due to the amortization of debt discounts from warrants we have issued to a lender.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Since our inception, we have incurred net losses and negative cash flows from operations. We incurred net losses of $7.2 million and $6.4 million and used $10.1 million and $4.0 million of cash from our operating activities for the three months ended March 31, 2018 and 2017, respectively. As of March 31, 2018, we had an accumulated deficit of $151.6 million.</w:t>
      </w:r>
    </w:p>
    <w:p>
      <w:pPr>
        <w:spacing w:after="0" w:line="181"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of March 31, 2018, we had cash and cash equivalents of $65.2 million. As of March 31, 2018, no additional amounts were available to borrow under our debt facility.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To date, we have financed our operations principally through equity offerings, borrowings from credit facilities and revenue from our commercial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Offerings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December 2017, we completed our IPO in which we sold 4,916,480 shares of common stock at an initial public offering price of $15.00 per share. The aggregate net proceeds received by us from the offering, net of underwriting discounts and commissions and offering expenses, were $65.6 million. Prior to the IPO, we had raised capital through the sale of redeemable convertible preferred stock in private placement.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Facility with Hercules</w:t>
      </w:r>
    </w:p>
    <w:p>
      <w:pPr>
        <w:spacing w:after="0" w:line="225"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On April 14, 2014, we executed a Loan Agreement with Hercules Capital, Inc. (formerly known as Hercules Technology Growth Capital, Inc.). The Loan Agreement provided a total debt facility of $10.0 million, which is secured by substantially all of our assets. At closing, we borrowed $5.0 million in principal and had the ability to draw the additional $5.0 million over the period from November 1, 2014 to March 31, 2015. The interest rate on this term loan was variable based on a calculation of 8% plus the prime rate less 5.25%, with a minimum interest rate of 8%. Interest was to be paid monthly beginning the month following the borrowing date. Principal payments were scheduled to begin on September 1, 2015, unless we achieved certain milestones which would have extended this date to December 1, 2015 or March 1, 2016. In connection with the execution of the Loan Agreement, we issued Hercules a warrant to purchase up to 173,428 shares of our Series C Preferred Stock at an exercise price of $3.3299 per share. Upon closing of the IPO, this warrant was automatically converted into a warrant to purchase up to 53,960 shares of our common stock at an exercise price of $10.70 per share.</w:t>
      </w:r>
    </w:p>
    <w:p>
      <w:pPr>
        <w:spacing w:after="0" w:line="16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On March 4, 2015, we executed Amendment 1 to the Loan Agreement and drew the additional $5.0 million available under the Loan Agreement at that time. The terms of the amendment deferred principal payments to start on December 1, 2015 or March 1, 2016 if we obtained at least $10.0 million in equity financing before December 1, 2015. This equity financing did not occur before December 1, 2015.</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January 2016, we executed Amendment 2 to the Loan Agreement, which increased the total facility available by $5.0 million to a total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$15.0 million and further delaying the start of principal payments to July 1, 2016. Following the Series D Preferred Stock financing in March 2016, we could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have elected to further delay the start of principal payments until January 1, 2017, however we voluntarily began paying principal on July 1, 2016. Upon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signing this amendment, we drew an additional $3.0 million under the debt facility. The remaining $2.0 million available for borrowing expired unused 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2016, decreasing the amounts available under the debt facility to $13.0 million.</w:t>
      </w:r>
    </w:p>
    <w:p>
      <w:pPr>
        <w:spacing w:after="0" w:line="211"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March 2017, we signed Amendment 3 to the Loan Agreement increasing the total facility available by $5.0 million to a total of $18.0 million. We had until February 28, 2018 to draw down from this additional available amount. As of March 31, 2018, we had not drawn any of this additional facility. Additionally, the lender may provide an optional term loan, solely at the lender’s discretion, for an incremental $5.0 million. We have until September 3, 2018 to request a draw down from this additional amount. As of March 31, 2018, we have not requested to draw any of this amount. Principal payments were delayed to March 1, 2018 and the loan maturity date was extended to March 1, 2019. The amendment did not affect the due date of the existing end of term</w:t>
      </w:r>
    </w:p>
    <w:p>
      <w:pPr>
        <w:sectPr>
          <w:pgSz w:w="11900" w:h="16874" w:orient="portrait"/>
          <w:cols w:equalWidth="0" w:num="1">
            <w:col w:w="11400"/>
          </w:cols>
          <w:pgMar w:left="240" w:top="125" w:right="259" w:bottom="0" w:gutter="0" w:footer="0" w:header="0"/>
        </w:sectPr>
      </w:pPr>
    </w:p>
    <w:bookmarkStart w:id="19" w:name="page20"/>
    <w:bookmarkEnd w:id="19"/>
    <w:p>
      <w:pPr>
        <w:ind w:right="160"/>
        <w:spacing w:after="0" w:line="264" w:lineRule="auto"/>
        <w:rPr>
          <w:sz w:val="20"/>
          <w:szCs w:val="20"/>
          <w:color w:val="auto"/>
        </w:rPr>
      </w:pPr>
      <w:r>
        <w:rPr>
          <w:rFonts w:ascii="Arial" w:cs="Arial" w:eastAsia="Arial" w:hAnsi="Arial"/>
          <w:sz w:val="18"/>
          <w:szCs w:val="18"/>
          <w:color w:val="auto"/>
        </w:rPr>
        <w:t>fees (in aggregate $0.5 million) which was due on February 1, 2018. In connection with this amendment, we issued Hercules a warrant to purchase up to 38,828 shares of our Series D Preferred Stock at an exercise price of $3.67 per share. Upon closing of the IPO, this warrant was automatically converted into a warrant to purchase up to 12,080 shares of our common stock at an exercise price of $11.80 per share.</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Loan Agreement and amendments contain end of term payments and are recorded in the debt accounts. $0.5 million of end of term payments were paid in the first quarter of 2018.</w:t>
      </w:r>
    </w:p>
    <w:p>
      <w:pPr>
        <w:spacing w:after="0" w:line="170"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Loan Agreement contains negative covenants restricting our activities, including limitations on dispositions, mergers or acquisitions, incurring indebtedness or liens, paying dividends or making investments and certain other business transactions. There are no financial covenants associated with the Loan Agreement. The obligations under the Loan Agreement are subject to acceleration upon the occurrence of specified events of default, including a material adverse change in our business, operations or financial or other condition, which is subjective in nature. We have determined that the risk of subjective acceleration under the material adverse events clause is not probable and therefore have classified the outstanding principal in current and long-term liabilities based on scheduled principal payments.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principal repayments, including the end of term fees, due as of March 31, 2018 are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gridSpan w:val="2"/>
          </w:tcPr>
          <w:p>
            <w:pPr>
              <w:ind w:left="980"/>
              <w:spacing w:after="0"/>
              <w:rPr>
                <w:sz w:val="20"/>
                <w:szCs w:val="20"/>
                <w:color w:val="auto"/>
              </w:rPr>
            </w:pPr>
            <w:r>
              <w:rPr>
                <w:rFonts w:ascii="Arial" w:cs="Arial" w:eastAsia="Arial" w:hAnsi="Arial"/>
                <w:sz w:val="14"/>
                <w:szCs w:val="14"/>
                <w:b w:val="1"/>
                <w:bCs w:val="1"/>
                <w:color w:val="auto"/>
              </w:rPr>
              <w:t>Years ending December 31:</w:t>
            </w:r>
          </w:p>
        </w:tc>
        <w:tc>
          <w:tcPr>
            <w:tcW w:w="4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10"/>
        </w:trPr>
        <w:tc>
          <w:tcPr>
            <w:tcW w:w="980" w:type="dxa"/>
            <w:vAlign w:val="bottom"/>
          </w:tcPr>
          <w:p>
            <w:pPr>
              <w:spacing w:after="0"/>
              <w:rPr>
                <w:sz w:val="18"/>
                <w:szCs w:val="18"/>
                <w:color w:val="auto"/>
              </w:rPr>
            </w:pPr>
          </w:p>
        </w:tc>
        <w:tc>
          <w:tcPr>
            <w:tcW w:w="3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2018</w:t>
            </w:r>
          </w:p>
        </w:tc>
        <w:tc>
          <w:tcPr>
            <w:tcW w:w="42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CCEEFF"/>
            </w:tcBorders>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4,161</w:t>
            </w:r>
          </w:p>
        </w:tc>
        <w:tc>
          <w:tcPr>
            <w:tcW w:w="1360" w:type="dxa"/>
            <w:vAlign w:val="bottom"/>
          </w:tcPr>
          <w:p>
            <w:pPr>
              <w:spacing w:after="0"/>
              <w:rPr>
                <w:sz w:val="18"/>
                <w:szCs w:val="18"/>
                <w:color w:val="auto"/>
              </w:rPr>
            </w:pPr>
          </w:p>
        </w:tc>
      </w:tr>
      <w:tr>
        <w:trPr>
          <w:trHeight w:val="216"/>
        </w:trPr>
        <w:tc>
          <w:tcPr>
            <w:tcW w:w="98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2019</w:t>
            </w:r>
          </w:p>
        </w:tc>
        <w:tc>
          <w:tcPr>
            <w:tcW w:w="4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4,430</w:t>
            </w:r>
          </w:p>
        </w:tc>
        <w:tc>
          <w:tcPr>
            <w:tcW w:w="1360" w:type="dxa"/>
            <w:vAlign w:val="bottom"/>
          </w:tcPr>
          <w:p>
            <w:pPr>
              <w:spacing w:after="0"/>
              <w:rPr>
                <w:sz w:val="18"/>
                <w:szCs w:val="18"/>
                <w:color w:val="auto"/>
              </w:rPr>
            </w:pPr>
          </w:p>
        </w:tc>
      </w:tr>
      <w:tr>
        <w:trPr>
          <w:trHeight w:val="210"/>
        </w:trPr>
        <w:tc>
          <w:tcPr>
            <w:tcW w:w="980" w:type="dxa"/>
            <w:vAlign w:val="bottom"/>
          </w:tcPr>
          <w:p>
            <w:pPr>
              <w:spacing w:after="0"/>
              <w:rPr>
                <w:sz w:val="18"/>
                <w:szCs w:val="18"/>
                <w:color w:val="auto"/>
              </w:rPr>
            </w:pPr>
          </w:p>
        </w:tc>
        <w:tc>
          <w:tcPr>
            <w:tcW w:w="3160" w:type="dxa"/>
            <w:vAlign w:val="bottom"/>
            <w:tcBorders>
              <w:top w:val="single" w:sz="8" w:color="CCEEFF"/>
            </w:tcBorders>
            <w:shd w:val="clear" w:color="auto" w:fill="CCEEFF"/>
          </w:tcPr>
          <w:p>
            <w:pPr>
              <w:spacing w:after="0"/>
              <w:rPr>
                <w:sz w:val="18"/>
                <w:szCs w:val="18"/>
                <w:color w:val="auto"/>
              </w:rPr>
            </w:pPr>
          </w:p>
        </w:tc>
        <w:tc>
          <w:tcPr>
            <w:tcW w:w="42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r>
      <w:tr>
        <w:trPr>
          <w:trHeight w:val="426"/>
        </w:trPr>
        <w:tc>
          <w:tcPr>
            <w:tcW w:w="9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200" w:type="dxa"/>
            <w:vAlign w:val="bottom"/>
          </w:tcPr>
          <w:p>
            <w:pPr>
              <w:jc w:val="right"/>
              <w:ind w:right="2450"/>
              <w:spacing w:after="0"/>
              <w:rPr>
                <w:sz w:val="20"/>
                <w:szCs w:val="20"/>
                <w:color w:val="auto"/>
              </w:rPr>
            </w:pPr>
            <w:r>
              <w:rPr>
                <w:rFonts w:ascii="Arial" w:cs="Arial" w:eastAsia="Arial" w:hAnsi="Arial"/>
                <w:sz w:val="18"/>
                <w:szCs w:val="18"/>
                <w:color w:val="auto"/>
              </w:rPr>
              <w:t>29</w:t>
            </w: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32"/>
        </w:trPr>
        <w:tc>
          <w:tcPr>
            <w:tcW w:w="980" w:type="dxa"/>
            <w:vAlign w:val="bottom"/>
            <w:tcBorders>
              <w:bottom w:val="single" w:sz="8" w:color="808080"/>
            </w:tcBorders>
          </w:tcPr>
          <w:p>
            <w:pPr>
              <w:spacing w:after="0"/>
              <w:rPr>
                <w:sz w:val="11"/>
                <w:szCs w:val="11"/>
                <w:color w:val="auto"/>
              </w:rPr>
            </w:pPr>
          </w:p>
        </w:tc>
        <w:tc>
          <w:tcPr>
            <w:tcW w:w="3160" w:type="dxa"/>
            <w:vAlign w:val="bottom"/>
            <w:tcBorders>
              <w:bottom w:val="single" w:sz="8" w:color="808080"/>
            </w:tcBorders>
          </w:tcPr>
          <w:p>
            <w:pPr>
              <w:spacing w:after="0"/>
              <w:rPr>
                <w:sz w:val="11"/>
                <w:szCs w:val="11"/>
                <w:color w:val="auto"/>
              </w:rPr>
            </w:pPr>
          </w:p>
        </w:tc>
        <w:tc>
          <w:tcPr>
            <w:tcW w:w="42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2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our cash flows for each period presented (in thousands):</w:t>
      </w:r>
    </w:p>
    <w:p>
      <w:pPr>
        <w:spacing w:after="0" w:line="217" w:lineRule="exact"/>
        <w:rPr>
          <w:sz w:val="20"/>
          <w:szCs w:val="20"/>
          <w:color w:val="auto"/>
        </w:rPr>
      </w:pPr>
    </w:p>
    <w:p>
      <w:pPr>
        <w:jc w:val="center"/>
        <w:ind w:left="5820"/>
        <w:spacing w:after="0"/>
        <w:rPr>
          <w:sz w:val="20"/>
          <w:szCs w:val="20"/>
          <w:color w:val="auto"/>
        </w:rPr>
      </w:pPr>
      <w:r>
        <w:rPr>
          <w:rFonts w:ascii="Arial" w:cs="Arial" w:eastAsia="Arial" w:hAnsi="Arial"/>
          <w:sz w:val="14"/>
          <w:szCs w:val="14"/>
          <w:b w:val="1"/>
          <w:bCs w:val="1"/>
          <w:color w:val="auto"/>
        </w:rPr>
        <w:t>Three months ended</w:t>
      </w:r>
    </w:p>
    <w:p>
      <w:pPr>
        <w:jc w:val="center"/>
        <w:ind w:left="582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42"/>
        </w:trPr>
        <w:tc>
          <w:tcPr>
            <w:tcW w:w="630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2"/>
                <w:szCs w:val="12"/>
                <w:color w:val="auto"/>
              </w:rPr>
            </w:pPr>
          </w:p>
        </w:tc>
      </w:tr>
      <w:tr>
        <w:trPr>
          <w:trHeight w:val="210"/>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(10,061)</w:t>
            </w:r>
          </w:p>
        </w:tc>
        <w:tc>
          <w:tcPr>
            <w:tcW w:w="28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100" w:type="dxa"/>
            <w:vAlign w:val="bottom"/>
            <w:shd w:val="clear" w:color="auto" w:fill="CCEEFF"/>
          </w:tcPr>
          <w:p>
            <w:pPr>
              <w:spacing w:after="0"/>
              <w:rPr>
                <w:sz w:val="18"/>
                <w:szCs w:val="18"/>
                <w:color w:val="auto"/>
              </w:rPr>
            </w:pPr>
          </w:p>
        </w:tc>
      </w:tr>
      <w:tr>
        <w:trPr>
          <w:trHeight w:val="216"/>
        </w:trPr>
        <w:tc>
          <w:tcPr>
            <w:tcW w:w="63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(3,449)</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(167)</w:t>
            </w:r>
          </w:p>
        </w:tc>
      </w:tr>
      <w:tr>
        <w:trPr>
          <w:trHeight w:val="216"/>
        </w:trPr>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2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(941)</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(949)</w:t>
            </w:r>
          </w:p>
        </w:tc>
      </w:tr>
      <w:tr>
        <w:trPr>
          <w:trHeight w:val="210"/>
        </w:trPr>
        <w:tc>
          <w:tcPr>
            <w:tcW w:w="630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(14,451</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(5,108</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r>
      <w:tr>
        <w:trPr>
          <w:trHeight w:val="20"/>
        </w:trPr>
        <w:tc>
          <w:tcPr>
            <w:tcW w:w="6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ind w:right="40" w:firstLine="648"/>
        <w:spacing w:after="0" w:line="312" w:lineRule="auto"/>
        <w:rPr>
          <w:sz w:val="20"/>
          <w:szCs w:val="20"/>
          <w:color w:val="auto"/>
        </w:rPr>
      </w:pPr>
      <w:r>
        <w:rPr>
          <w:rFonts w:ascii="Arial" w:cs="Arial" w:eastAsia="Arial" w:hAnsi="Arial"/>
          <w:sz w:val="16"/>
          <w:szCs w:val="16"/>
          <w:color w:val="auto"/>
        </w:rPr>
        <w:t>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w:t>
      </w:r>
    </w:p>
    <w:p>
      <w:pPr>
        <w:spacing w:after="0" w:line="147"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Net cash used in operating activities was $10.1 million during the three months ended March 31, 2018. Net cash used in operating activities primarily consisted of the net loss of $7.2 million, and a decrease in accounts payable and accrued expenses of $2.6 million. Other cash outflows including an increase in inventory of $0.9 million, an increase of prepaid and other expenses of $0.9 million and decrease in deferred revenue of $0.5 million are primarily offset by a decrease in accounts receivable of $1.1 million, non-cash stock compensation expense of $0.6 million and other non-cash adjustments of $0.3 million.</w:t>
      </w:r>
    </w:p>
    <w:p>
      <w:pPr>
        <w:spacing w:after="0" w:line="188"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Net cash used in operating activities was $4.0 million during the three months ended March 31, 2017. Net cash used in operating activities primarily consisted of a net loss of $6.4 million, primarily offset by a $2.1 million increase in deferred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225" w:lineRule="exact"/>
        <w:rPr>
          <w:sz w:val="20"/>
          <w:szCs w:val="20"/>
          <w:color w:val="auto"/>
        </w:rPr>
      </w:pPr>
    </w:p>
    <w:p>
      <w:pPr>
        <w:ind w:right="260" w:firstLine="648"/>
        <w:spacing w:after="0" w:line="342" w:lineRule="auto"/>
        <w:rPr>
          <w:sz w:val="20"/>
          <w:szCs w:val="20"/>
          <w:color w:val="auto"/>
        </w:rPr>
      </w:pPr>
      <w:r>
        <w:rPr>
          <w:rFonts w:ascii="Arial" w:cs="Arial" w:eastAsia="Arial" w:hAnsi="Arial"/>
          <w:sz w:val="16"/>
          <w:szCs w:val="16"/>
          <w:color w:val="auto"/>
        </w:rPr>
        <w:t>Historically, our primary investing activities have consisted of capital expenditures for the purchase of capital equipment to support our expanding infrastructure and work force. We expect to continue to incur additional costs for capital expenditures related to these efforts in future periods.</w:t>
      </w:r>
    </w:p>
    <w:p>
      <w:pPr>
        <w:spacing w:after="0" w:line="12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We used $3.4 million of cash in investing activities during the three months ended March 31, 2018 consisting of cash paid in the acquisition of Aushon, net of cash acquired and for purchases of capital equipment to support our infrastructure.</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We used $0.1 million of cash in investing activities during the three months ended March 31, 2017 for purchases of capital equipment to support our infrastructure.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Historically, we have financed our operations principally through private placements of our convertible preferred stock and borrowings from credit facilities, the sale of shares of our common stock in our IPO and revenues from our commercial operations.</w:t>
      </w:r>
    </w:p>
    <w:p>
      <w:pPr>
        <w:spacing w:after="0" w:line="170"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We used $0.9 million of cash in financing activities during the three months ended March 31, 2018, which was primarily used in payments of outstanding debt of $1.0 million, which was partially offset by proceeds of common stock option exercises of $0.1 million</w:t>
      </w:r>
    </w:p>
    <w:p>
      <w:pPr>
        <w:spacing w:after="0" w:line="170"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We used $0.9 million of cash in financing activities during the three months ended March 31, 2017, which was primarily from paydowns of outstanding debt.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ectPr>
          <w:pgSz w:w="11900" w:h="16838" w:orient="portrait"/>
          <w:cols w:equalWidth="0" w:num="1">
            <w:col w:w="11460"/>
          </w:cols>
          <w:pgMar w:left="240" w:top="125" w:right="199" w:bottom="0" w:gutter="0" w:footer="0" w:header="0"/>
        </w:sectPr>
      </w:pPr>
    </w:p>
    <w:bookmarkStart w:id="20" w:name="page21"/>
    <w:bookmarkEnd w:id="20"/>
    <w:p>
      <w:pPr>
        <w:ind w:right="140" w:firstLine="648"/>
        <w:spacing w:after="0" w:line="259" w:lineRule="auto"/>
        <w:rPr>
          <w:sz w:val="20"/>
          <w:szCs w:val="20"/>
          <w:color w:val="auto"/>
        </w:rPr>
      </w:pPr>
      <w:r>
        <w:rPr>
          <w:rFonts w:ascii="Arial" w:cs="Arial" w:eastAsia="Arial" w:hAnsi="Arial"/>
          <w:sz w:val="18"/>
          <w:szCs w:val="18"/>
          <w:color w:val="auto"/>
        </w:rPr>
        <w:t>We have not achieved profitability on a quarterly or annual basis since our inception, and we expect to continue to incur net losses in the future. We also expect that our operating expenses will increase as we continue to increase our marketing efforts to drive adoption of our commercial products. Additionally, as a public company, we have incurred and will continue to incur significant audit, legal and other expenses that we did not incur as a private company. Our liquidity requirements have historically consisted, and we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expect that they will continue to consist, of sales and marketing expenses, research and development expenses, working capital, debt service and general corporate expenses.</w:t>
      </w:r>
    </w:p>
    <w:p>
      <w:pPr>
        <w:spacing w:after="0" w:line="8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We believe cash generated from commercial sales, our current cash and cash equivalents, and interest income we earn on these balances will be sufficient to meet our anticipated operating cash requirements for at least the next 24 months. In the future, we expect our operating and capital expenditures to increase as we increase headcount, expand our sales and marketing activities and grow our customer base. Our estimates of the period of time through which our financial resources will be adequate to support our operations and the costs to support research and development and our sales and marketing activities are forward-looking statements and involve risks and uncertainties and actual results could vary materially and negatively as a result of a number of factors, including the factors discussed in Item 1A, “Risk Factors” of our 2017 Annual Report on Form 10-K. We have based our estimates on assumptions that may prove to be wrong and we could utilize our available capital resources sooner than we currently expect. Our future funding requirements will depend on many factors, including:</w:t>
      </w:r>
    </w:p>
    <w:p>
      <w:pPr>
        <w:spacing w:after="0" w:line="111"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market acceptance of our products, including the Quanterix SR-X that we launched in the fourth quarter of 2017;</w:t>
      </w:r>
    </w:p>
    <w:p>
      <w:pPr>
        <w:spacing w:after="0" w:line="144"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establishing additional sales, marketing and distribution capabilities;</w:t>
      </w:r>
    </w:p>
    <w:p>
      <w:pPr>
        <w:spacing w:after="0" w:line="144"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of our research and development activities;</w:t>
      </w:r>
    </w:p>
    <w:p>
      <w:pPr>
        <w:spacing w:after="0" w:line="144"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success of our existing collaborations and our ability to enter into additional collaborations in the future;</w:t>
      </w:r>
    </w:p>
    <w:p>
      <w:pPr>
        <w:spacing w:after="0" w:line="144"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 and timing of potential regulatory clearances or approvals that may be required in the future for our products; and</w:t>
      </w:r>
    </w:p>
    <w:p>
      <w:pPr>
        <w:spacing w:after="0" w:line="144" w:lineRule="exact"/>
        <w:rPr>
          <w:rFonts w:ascii="Arial" w:cs="Arial" w:eastAsia="Arial" w:hAnsi="Arial"/>
          <w:sz w:val="18"/>
          <w:szCs w:val="18"/>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44"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We cannot assure you that we will be able to obtain additional funds on acceptable terms, or at all. If we raise additional funds by issuing equity or equity-linked securities, our stockholders may experience dilution. Future debt financing, if available, may involve covenants restricting our operations or our ability to incur additional debt. Any debt or equity financing that we raise may contain terms that are not favorable to us or our stockholders. If we raise additional funds through collaboration and licensing arrangements with third parties, it may be necessary to relinquish some rights to our technologies or our products, or grant licenses on terms that are not favorable to us. If we do not have or are not able to obtain sufficient funds, we may have to delay development or commercialization of our products. We also may have to reduce marketing, customer support or other resources devoted to our products or cease operations.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significant judgments, and estimates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148"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Under the acquisition method of accounting, the Company allocates the fair value of the total consideration transferred to the tangible and identifiable intangible assets acquired and liabilities assumed based on their estimated fair values on the date of acquisition. The fair values assigned, defined as the price that would be received to sell an asset or paid to transfer a liability in an orderly transaction between willing market participants, are based on estimates and assumptions determined by management. The excess consideration over the aggregate fair value of tangible and intangible assets, net of liabilities assumed, is recorded as goodwill. These valuations require significant estimates and assumptions, especially with respect to intangible assets.</w:t>
      </w:r>
    </w:p>
    <w:p>
      <w:pPr>
        <w:spacing w:after="0" w:line="7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typically uses the discounted cash flow method to value acquired intangible assets. This method requires significant management judgment to forecast future operating results and establish residual growth rates and discount factors. The estimates used to value and amortize intangible assets are consistent with the plans and estimates that are used to manage the business and are based on available historical information and industry estimates and averages. If the subsequent actual results and updated projections of the underlying business activity change compared with the assumptions and projections used to develop these values, the Company could experience impairment charges. In addition, the Company has estimated the economic lives of certain acquired assets and these lives are used to calculate depreciation and amortization expense. If estimates of the economic lives change, depreciation or amortization expenses could be accelerated or slowed.</w:t>
      </w:r>
    </w:p>
    <w:p>
      <w:pPr>
        <w:spacing w:after="0" w:line="9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condensed consolidated financial statements have been prepared in accordance with U.S. GAAP. Preparation of these statements requires management to make significant judgments and estimates. Some of our accounting policies require estimates which may have a significant impact on amounts reported in these financial statements. A summary of our critical accounting policies and significant estimates may be found in our Annual Report on Form 10-K for our fiscal year ended December 31, 2017. Other than adoption of the business combination policy, there have been no other material changes to our critical accounting policies as disclosed in that report.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4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In January 2018, we acquired Aushon Biosystems, Inc. and assumed lease obligations for facilities in Billerica, Massachusetts. Including these lease obligations, our contractual obligations as of March 31, 2018 were (in thousands):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5"/>
          </w:tcPr>
          <w:p>
            <w:pPr>
              <w:ind w:left="780"/>
              <w:spacing w:after="0"/>
              <w:rPr>
                <w:sz w:val="20"/>
                <w:szCs w:val="20"/>
                <w:color w:val="auto"/>
              </w:rPr>
            </w:pPr>
            <w:r>
              <w:rPr>
                <w:rFonts w:ascii="Arial" w:cs="Arial" w:eastAsia="Arial" w:hAnsi="Arial"/>
                <w:sz w:val="14"/>
                <w:szCs w:val="14"/>
                <w:b w:val="1"/>
                <w:bCs w:val="1"/>
                <w:color w:val="auto"/>
                <w:w w:val="91"/>
              </w:rPr>
              <w:t>Payments due by period</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0"/>
                <w:szCs w:val="10"/>
                <w:color w:val="auto"/>
              </w:rPr>
            </w:pPr>
          </w:p>
        </w:tc>
        <w:tc>
          <w:tcPr>
            <w:tcW w:w="100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Less than</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1 to 3</w:t>
            </w:r>
          </w:p>
        </w:tc>
        <w:tc>
          <w:tcPr>
            <w:tcW w:w="220" w:type="dxa"/>
            <w:vAlign w:val="bottom"/>
          </w:tcPr>
          <w:p>
            <w:pPr>
              <w:spacing w:after="0"/>
              <w:rPr>
                <w:sz w:val="10"/>
                <w:szCs w:val="10"/>
                <w:color w:val="auto"/>
              </w:rPr>
            </w:pPr>
          </w:p>
        </w:tc>
        <w:tc>
          <w:tcPr>
            <w:tcW w:w="102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3 to 5</w:t>
            </w: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1 Year</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22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Arial" w:cs="Arial" w:eastAsia="Arial" w:hAnsi="Arial"/>
                <w:sz w:val="14"/>
                <w:szCs w:val="14"/>
                <w:b w:val="1"/>
                <w:bCs w:val="1"/>
                <w:color w:val="auto"/>
              </w:rPr>
              <w:t>years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ind w:left="160"/>
              <w:spacing w:after="0"/>
              <w:rPr>
                <w:sz w:val="20"/>
                <w:szCs w:val="20"/>
                <w:color w:val="auto"/>
              </w:rPr>
            </w:pPr>
            <w:r>
              <w:rPr>
                <w:rFonts w:ascii="Arial" w:cs="Arial" w:eastAsia="Arial" w:hAnsi="Arial"/>
                <w:sz w:val="14"/>
                <w:szCs w:val="14"/>
                <w:b w:val="1"/>
                <w:bCs w:val="1"/>
                <w:color w:val="auto"/>
              </w:rPr>
              <w:t>5 years</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Contractual Obligations:(1)</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Operating lease obligations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1,020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2,248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8,591</w:t>
            </w:r>
          </w:p>
        </w:tc>
        <w:tc>
          <w:tcPr>
            <w:tcW w:w="0" w:type="dxa"/>
            <w:vAlign w:val="bottom"/>
          </w:tcPr>
          <w:p>
            <w:pPr>
              <w:spacing w:after="0"/>
              <w:rPr>
                <w:sz w:val="1"/>
                <w:szCs w:val="1"/>
                <w:color w:val="auto"/>
              </w:rPr>
            </w:pPr>
          </w:p>
        </w:tc>
      </w:tr>
      <w:tr>
        <w:trPr>
          <w:trHeight w:val="216"/>
        </w:trPr>
        <w:tc>
          <w:tcPr>
            <w:tcW w:w="5260" w:type="dxa"/>
            <w:vAlign w:val="bottom"/>
            <w:gridSpan w:val="2"/>
          </w:tcPr>
          <w:p>
            <w:pPr>
              <w:spacing w:after="0"/>
              <w:rPr>
                <w:sz w:val="20"/>
                <w:szCs w:val="20"/>
                <w:color w:val="auto"/>
              </w:rPr>
            </w:pPr>
            <w:r>
              <w:rPr>
                <w:rFonts w:ascii="Arial" w:cs="Arial" w:eastAsia="Arial" w:hAnsi="Arial"/>
                <w:sz w:val="18"/>
                <w:szCs w:val="18"/>
                <w:color w:val="auto"/>
              </w:rPr>
              <w:t>Acquisition payment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800</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10,411</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2,248</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12,659</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125" w:right="239" w:bottom="217" w:gutter="0" w:footer="0" w:header="0"/>
        </w:sect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217" w:gutter="0" w:footer="0" w:header="0"/>
          <w:type w:val="continuous"/>
        </w:sectPr>
      </w:pPr>
    </w:p>
    <w:bookmarkStart w:id="21" w:name="page22"/>
    <w:bookmarkEnd w:id="21"/>
    <w:p>
      <w:pPr>
        <w:spacing w:after="0" w:line="106"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did not have, during the periods presented, and we do not currently have, any off-balance sheet arrangements, as defined under applicable SEC</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rules.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At March 31, 2018, there have been no material changes to the market risk information described under “Quantitative and Qualitative Disclosures About Market Risk” included in the Annual Report on Form 10-K for the year ended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80" w:firstLine="656"/>
        <w:spacing w:after="0" w:line="293" w:lineRule="auto"/>
        <w:tabs>
          <w:tab w:leader="none" w:pos="938"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Our principal executive officer and principal financial officer, after evaluating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effectiveness of our disclosure controls and procedures (as defined in Exchange Act Rules 13a-15(e) and 15d-15(e)) as of the end of the period covered by this Form 10-Q, have concluded that, based on such evaluation, our disclosure controls and procedures were effective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spacing w:after="0" w:line="164" w:lineRule="exact"/>
        <w:rPr>
          <w:rFonts w:ascii="Arial" w:cs="Arial" w:eastAsia="Arial" w:hAnsi="Arial"/>
          <w:sz w:val="16"/>
          <w:szCs w:val="16"/>
          <w:color w:val="auto"/>
        </w:rPr>
      </w:pPr>
    </w:p>
    <w:p>
      <w:pPr>
        <w:jc w:val="both"/>
        <w:ind w:right="440" w:firstLine="656"/>
        <w:spacing w:after="0" w:line="264" w:lineRule="auto"/>
        <w:tabs>
          <w:tab w:leader="none" w:pos="948"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identified in</w:t>
      </w:r>
      <w:r>
        <w:rPr>
          <w:rFonts w:ascii="Arial" w:cs="Arial" w:eastAsia="Arial" w:hAnsi="Arial"/>
          <w:sz w:val="18"/>
          <w:szCs w:val="18"/>
          <w:i w:val="1"/>
          <w:iCs w:val="1"/>
          <w:color w:val="auto"/>
        </w:rPr>
        <w:t xml:space="preserve"> </w:t>
      </w:r>
      <w:r>
        <w:rPr>
          <w:rFonts w:ascii="Arial" w:cs="Arial" w:eastAsia="Arial" w:hAnsi="Arial"/>
          <w:sz w:val="18"/>
          <w:szCs w:val="18"/>
          <w:color w:val="auto"/>
        </w:rPr>
        <w:t>connection with the evaluation of such internal control that occurred during the three months ended March 31, 2018 that have materially affected, or are reasonably likely to materially affect, our internal control over financial reporting.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not currently a party to any material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There have been no material changes to the risk factors described in our Annual Report on Form 10-K for the year ended December 31, 2017, filed with the Securities and Exchange Commission on March 19,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From January 1, 2018 through March 19, 2018 (the date we filed a registration statement on Form S-8), we issued an aggregate of 49,759 shares of common stock upon the exercise of options to certain of our employees and former employees under the 2007 Stock Option and Grant Plan, as amended. These issuances were exempt from registration under the Securities Act in reliance on Rule 701 promulgated under the Securities Act as offers and sales of securities under compensatory benefit plans and contracts relating to compensation in compliance with Rule 701.</w:t>
      </w:r>
    </w:p>
    <w:p>
      <w:pPr>
        <w:spacing w:after="0" w:line="171"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On January 30, 2018, we issued a warrant to purchase 10,000 shares of common stock at an exercise price of $21.00 per share to a consultant. The warrant vests in full as of July 2, 2018 and terminates on January 2, 2023. The issuance of this warrant was exempt from registration under the Securities Act in reliance on Section 4(a)(2) of the Securities Act.</w:t>
      </w:r>
    </w:p>
    <w:p>
      <w:pPr>
        <w:spacing w:after="0" w:line="181"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Each of the recipients of securities in any transaction exempt from registration either received or had adequate access, through employment, business or other relationships, to information about us. All certificates representing the securities issued in the transactions described above included appropriate legends setting forth that the securities had not been offered or sold pursuant to a registration statement and describing the applicable restrictions on transfer of the securities. There were no underwriters employed in connection with any of the transactions set forth above.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Initial Public Offering of Common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December 11, 2017, we completed the initial public offering of our common stock, which resulted in the sale of 4,916,480 shares, including</w:t>
      </w:r>
    </w:p>
    <w:p>
      <w:pPr>
        <w:spacing w:after="0" w:line="3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641,280 shares sold by us pursuant to the exercise in full by the underwriters of their option to purchase additional shares in connection with the initial public offering, at a price to the public of $15.00 per share. The offer and sale of all of the shares in our initial public offering was registered under the Securities Act pursuant to a registration statement on Form S-1 (File No. 333-221475), which was declared effective by the SEC on December 6, 2017, and a registration statement on Form S-1 (File No. 333-221932) under Rule 462(b) of the Securities Act that became effective upon its filing. Following the sale of all of the shares in connection with the closing of our initial public offering, the offering terminated. J.P. Morgan Securities LLC, Leerink Partners LLC and Cowen and Company, LLC acted as joint book-running managers for the initial public offering. BTIG, LLC and Evercore Group L.L.C. acted as a co-managers.</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We received approximately $65.6 million in net proceeds after deducting underwriting discounts and commissions and offering costs payable by us. As of March 31, 2018, we had used approximately $0.3 million of the net proceeds from the offering for: operating expenses, capital investments, debt payments and the acquisition of Aushon. None of the offering expenses consisted of direct or indirect payments made by us to directors, officers or persons owning 10% or more of our common stock or to their associates, or to our affiliates, and we have not used any of the net proceeds from the offering to make</w:t>
      </w:r>
    </w:p>
    <w:p>
      <w:pPr>
        <w:sectPr>
          <w:pgSz w:w="11900" w:h="16945" w:orient="portrait"/>
          <w:cols w:equalWidth="0" w:num="1">
            <w:col w:w="11400"/>
          </w:cols>
          <w:pgMar w:left="240" w:top="125" w:right="259" w:bottom="0" w:gutter="0" w:footer="0" w:header="0"/>
        </w:sectPr>
      </w:pPr>
    </w:p>
    <w:bookmarkStart w:id="22" w:name="page23"/>
    <w:bookmarkEnd w:id="22"/>
    <w:p>
      <w:pPr>
        <w:spacing w:after="0" w:line="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payments, directly or indirectly, to any such persons. There has been no material change in the planned use of the net proceeds from our initial public offering as described in our final prospectus filed with the SEC on December 7, 2017 pursuant to Rule 424(b)(4) under the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jc w:val="center"/>
        <w:ind w:right="90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ind w:right="8980"/>
        <w:spacing w:after="0"/>
        <w:rPr>
          <w:sz w:val="20"/>
          <w:szCs w:val="20"/>
          <w:color w:val="auto"/>
        </w:rPr>
      </w:pPr>
      <w:r>
        <w:rPr>
          <w:rFonts w:ascii="Arial" w:cs="Arial" w:eastAsia="Arial" w:hAnsi="Arial"/>
          <w:sz w:val="16"/>
          <w:szCs w:val="16"/>
          <w:b w:val="1"/>
          <w:bCs w:val="1"/>
          <w:color w:val="auto"/>
        </w:rPr>
        <w:t>Item 4. Mine Safety Disclosures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w:t>
            </w:r>
          </w:p>
        </w:tc>
        <w:tc>
          <w:tcPr>
            <w:tcW w:w="7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Filed</w:t>
            </w:r>
          </w:p>
        </w:tc>
        <w:tc>
          <w:tcPr>
            <w:tcW w:w="1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Incorporated by</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SEC File/</w:t>
            </w:r>
          </w:p>
        </w:tc>
        <w:tc>
          <w:tcPr>
            <w:tcW w:w="0" w:type="dxa"/>
            <w:vAlign w:val="bottom"/>
          </w:tcPr>
          <w:p>
            <w:pPr>
              <w:spacing w:after="0"/>
              <w:rPr>
                <w:sz w:val="1"/>
                <w:szCs w:val="1"/>
                <w:color w:val="auto"/>
              </w:rPr>
            </w:pPr>
          </w:p>
        </w:tc>
      </w:tr>
      <w:tr>
        <w:trPr>
          <w:trHeight w:val="149"/>
        </w:trPr>
        <w:tc>
          <w:tcPr>
            <w:tcW w:w="110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3500" w:type="dxa"/>
            <w:vAlign w:val="bottom"/>
            <w:gridSpan w:val="22"/>
            <w:vMerge w:val="restart"/>
          </w:tcPr>
          <w:p>
            <w:pPr>
              <w:ind w:left="1000"/>
              <w:spacing w:after="0"/>
              <w:rPr>
                <w:sz w:val="20"/>
                <w:szCs w:val="20"/>
                <w:color w:val="auto"/>
              </w:rPr>
            </w:pPr>
            <w:r>
              <w:rPr>
                <w:rFonts w:ascii="Arial" w:cs="Arial" w:eastAsia="Arial" w:hAnsi="Arial"/>
                <w:sz w:val="14"/>
                <w:szCs w:val="14"/>
                <w:b w:val="1"/>
                <w:bCs w:val="1"/>
                <w:color w:val="auto"/>
              </w:rPr>
              <w:t>Exhibit Description</w:t>
            </w:r>
          </w:p>
        </w:tc>
        <w:tc>
          <w:tcPr>
            <w:tcW w:w="1200" w:type="dxa"/>
            <w:vAlign w:val="bottom"/>
            <w:gridSpan w:val="2"/>
            <w:vMerge w:val="continue"/>
          </w:tcPr>
          <w:p>
            <w:pPr>
              <w:spacing w:after="0"/>
              <w:rPr>
                <w:sz w:val="12"/>
                <w:szCs w:val="12"/>
                <w:color w:val="auto"/>
              </w:rPr>
            </w:pPr>
          </w:p>
        </w:tc>
        <w:tc>
          <w:tcPr>
            <w:tcW w:w="19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Reference herein from</w:t>
            </w: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7"/>
              </w:rPr>
              <w:t>Filing Date</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Reg.</w:t>
            </w:r>
          </w:p>
        </w:tc>
        <w:tc>
          <w:tcPr>
            <w:tcW w:w="0" w:type="dxa"/>
            <w:vAlign w:val="bottom"/>
          </w:tcPr>
          <w:p>
            <w:pPr>
              <w:spacing w:after="0"/>
              <w:rPr>
                <w:sz w:val="1"/>
                <w:szCs w:val="1"/>
                <w:color w:val="auto"/>
              </w:rPr>
            </w:pPr>
          </w:p>
        </w:tc>
      </w:tr>
      <w:tr>
        <w:trPr>
          <w:trHeight w:val="171"/>
        </w:trPr>
        <w:tc>
          <w:tcPr>
            <w:tcW w:w="11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740" w:type="dxa"/>
            <w:vAlign w:val="bottom"/>
          </w:tcPr>
          <w:p>
            <w:pPr>
              <w:spacing w:after="0"/>
              <w:rPr>
                <w:sz w:val="14"/>
                <w:szCs w:val="14"/>
                <w:color w:val="auto"/>
              </w:rPr>
            </w:pPr>
          </w:p>
        </w:tc>
        <w:tc>
          <w:tcPr>
            <w:tcW w:w="3500" w:type="dxa"/>
            <w:vAlign w:val="bottom"/>
            <w:gridSpan w:val="22"/>
            <w:vMerge w:val="continue"/>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Herewith</w:t>
            </w: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Form or Schedule</w:t>
            </w:r>
          </w:p>
        </w:tc>
        <w:tc>
          <w:tcPr>
            <w:tcW w:w="1540" w:type="dxa"/>
            <w:vAlign w:val="bottom"/>
            <w:gridSpan w:val="2"/>
            <w:vMerge w:val="continue"/>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8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4.1</w:t>
            </w:r>
          </w:p>
        </w:tc>
        <w:tc>
          <w:tcPr>
            <w:tcW w:w="740" w:type="dxa"/>
            <w:vAlign w:val="bottom"/>
          </w:tcPr>
          <w:p>
            <w:pPr>
              <w:spacing w:after="0"/>
              <w:rPr>
                <w:sz w:val="14"/>
                <w:szCs w:val="14"/>
                <w:color w:val="auto"/>
              </w:rPr>
            </w:pPr>
          </w:p>
        </w:tc>
        <w:tc>
          <w:tcPr>
            <w:tcW w:w="3200" w:type="dxa"/>
            <w:vAlign w:val="bottom"/>
            <w:tcBorders>
              <w:top w:val="single" w:sz="8" w:color="auto"/>
            </w:tcBorders>
            <w:gridSpan w:val="21"/>
          </w:tcPr>
          <w:p>
            <w:pPr>
              <w:spacing w:after="0" w:line="170" w:lineRule="exact"/>
              <w:rPr>
                <w:rFonts w:ascii="Arial" w:cs="Arial" w:eastAsia="Arial" w:hAnsi="Arial"/>
                <w:sz w:val="18"/>
                <w:szCs w:val="18"/>
                <w:color w:val="0000EE"/>
                <w:w w:val="89"/>
              </w:rPr>
            </w:pPr>
            <w:hyperlink r:id="rId54">
              <w:r>
                <w:rPr>
                  <w:rFonts w:ascii="Arial" w:cs="Arial" w:eastAsia="Arial" w:hAnsi="Arial"/>
                  <w:sz w:val="18"/>
                  <w:szCs w:val="18"/>
                  <w:color w:val="0000EE"/>
                  <w:w w:val="89"/>
                </w:rPr>
                <w:t>Warrant Agreement, dated as of January 30,</w:t>
              </w:r>
            </w:hyperlink>
          </w:p>
        </w:tc>
        <w:tc>
          <w:tcPr>
            <w:tcW w:w="3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4"/>
              </w:rPr>
              <w:t>10-K</w:t>
            </w:r>
          </w:p>
        </w:tc>
        <w:tc>
          <w:tcPr>
            <w:tcW w:w="280" w:type="dxa"/>
            <w:vAlign w:val="bottom"/>
          </w:tcPr>
          <w:p>
            <w:pPr>
              <w:spacing w:after="0"/>
              <w:rPr>
                <w:sz w:val="14"/>
                <w:szCs w:val="14"/>
                <w:color w:val="auto"/>
              </w:rPr>
            </w:pPr>
          </w:p>
        </w:tc>
        <w:tc>
          <w:tcPr>
            <w:tcW w:w="12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89"/>
              </w:rPr>
              <w:t>3/19/18</w:t>
            </w:r>
          </w:p>
        </w:tc>
        <w:tc>
          <w:tcPr>
            <w:tcW w:w="280" w:type="dxa"/>
            <w:vAlign w:val="bottom"/>
          </w:tcPr>
          <w:p>
            <w:pPr>
              <w:spacing w:after="0"/>
              <w:rPr>
                <w:sz w:val="14"/>
                <w:szCs w:val="14"/>
                <w:color w:val="auto"/>
              </w:rPr>
            </w:pPr>
          </w:p>
        </w:tc>
        <w:tc>
          <w:tcPr>
            <w:tcW w:w="13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94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8"/>
              </w:rPr>
            </w:pPr>
            <w:hyperlink r:id="rId54">
              <w:r>
                <w:rPr>
                  <w:rFonts w:ascii="Arial" w:cs="Arial" w:eastAsia="Arial" w:hAnsi="Arial"/>
                  <w:sz w:val="18"/>
                  <w:szCs w:val="18"/>
                  <w:color w:val="0000EE"/>
                  <w:w w:val="88"/>
                </w:rPr>
                <w:t>2018, by and between the Registrant and</w:t>
              </w:r>
            </w:hyperlink>
          </w:p>
        </w:tc>
        <w:tc>
          <w:tcPr>
            <w:tcW w:w="220" w:type="dxa"/>
            <w:vAlign w:val="bottom"/>
            <w:tcBorders>
              <w:top w:val="single" w:sz="8" w:color="0000EE"/>
            </w:tcBorders>
            <w:gridSpan w:val="4"/>
          </w:tcPr>
          <w:p>
            <w:pPr>
              <w:spacing w:after="0"/>
              <w:rPr>
                <w:sz w:val="17"/>
                <w:szCs w:val="17"/>
                <w:color w:val="auto"/>
              </w:rPr>
            </w:pPr>
          </w:p>
        </w:tc>
        <w:tc>
          <w:tcPr>
            <w:tcW w:w="3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00" w:type="dxa"/>
            <w:vAlign w:val="bottom"/>
            <w:tcBorders>
              <w:bottom w:val="single" w:sz="8" w:color="0000EE"/>
            </w:tcBorders>
            <w:gridSpan w:val="19"/>
          </w:tcPr>
          <w:p>
            <w:pPr>
              <w:spacing w:after="0" w:line="196" w:lineRule="exact"/>
              <w:rPr>
                <w:rFonts w:ascii="Arial" w:cs="Arial" w:eastAsia="Arial" w:hAnsi="Arial"/>
                <w:sz w:val="18"/>
                <w:szCs w:val="18"/>
                <w:color w:val="0000EE"/>
                <w:w w:val="95"/>
              </w:rPr>
            </w:pPr>
            <w:hyperlink r:id="rId54">
              <w:r>
                <w:rPr>
                  <w:rFonts w:ascii="Arial" w:cs="Arial" w:eastAsia="Arial" w:hAnsi="Arial"/>
                  <w:sz w:val="18"/>
                  <w:szCs w:val="18"/>
                  <w:color w:val="0000EE"/>
                  <w:w w:val="95"/>
                </w:rPr>
                <w:t>Azul Divinal Consultoria Unipessoal LDA</w:t>
              </w:r>
            </w:hyperlink>
          </w:p>
        </w:tc>
        <w:tc>
          <w:tcPr>
            <w:tcW w:w="400" w:type="dxa"/>
            <w:vAlign w:val="bottom"/>
            <w:gridSpan w:val="3"/>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3500" w:type="dxa"/>
            <w:vAlign w:val="bottom"/>
            <w:gridSpan w:val="22"/>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Letter Agreement, effective as of</w:t>
              </w:r>
            </w:hyperlink>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00" w:type="dxa"/>
            <w:vAlign w:val="bottom"/>
            <w:gridSpan w:val="22"/>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February 5, 2018, by and between the</w:t>
              </w:r>
            </w:hyperlink>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Registrant and Dawn Mattoon</w:t>
              </w:r>
            </w:hyperlink>
          </w:p>
        </w:tc>
        <w:tc>
          <w:tcPr>
            <w:tcW w:w="540" w:type="dxa"/>
            <w:vAlign w:val="bottom"/>
            <w:tcBorders>
              <w:top w:val="single" w:sz="8" w:color="0000EE"/>
            </w:tcBorders>
            <w:gridSpan w:val="5"/>
          </w:tcPr>
          <w:p>
            <w:pPr>
              <w:spacing w:after="0"/>
              <w:rPr>
                <w:sz w:val="17"/>
                <w:szCs w:val="17"/>
                <w:color w:val="auto"/>
              </w:rPr>
            </w:pPr>
          </w:p>
        </w:tc>
        <w:tc>
          <w:tcPr>
            <w:tcW w:w="780" w:type="dxa"/>
            <w:vAlign w:val="bottom"/>
            <w:gridSpan w:val="13"/>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10.2.1</w:t>
            </w:r>
          </w:p>
        </w:tc>
        <w:tc>
          <w:tcPr>
            <w:tcW w:w="740" w:type="dxa"/>
            <w:vAlign w:val="bottom"/>
          </w:tcPr>
          <w:p>
            <w:pPr>
              <w:spacing w:after="0"/>
              <w:rPr>
                <w:sz w:val="24"/>
                <w:szCs w:val="24"/>
                <w:color w:val="auto"/>
              </w:rPr>
            </w:pPr>
          </w:p>
        </w:tc>
        <w:tc>
          <w:tcPr>
            <w:tcW w:w="3100" w:type="dxa"/>
            <w:vAlign w:val="bottom"/>
            <w:tcBorders>
              <w:bottom w:val="single" w:sz="8" w:color="0000EE"/>
            </w:tcBorders>
            <w:gridSpan w:val="19"/>
          </w:tcPr>
          <w:p>
            <w:pPr>
              <w:spacing w:after="0"/>
              <w:rPr>
                <w:rFonts w:ascii="Arial" w:cs="Arial" w:eastAsia="Arial" w:hAnsi="Arial"/>
                <w:sz w:val="18"/>
                <w:szCs w:val="18"/>
                <w:color w:val="0000EE"/>
                <w:w w:val="87"/>
              </w:rPr>
            </w:pPr>
            <w:hyperlink r:id="rId55">
              <w:r>
                <w:rPr>
                  <w:rFonts w:ascii="Arial" w:cs="Arial" w:eastAsia="Arial" w:hAnsi="Arial"/>
                  <w:sz w:val="18"/>
                  <w:szCs w:val="18"/>
                  <w:color w:val="0000EE"/>
                  <w:w w:val="87"/>
                </w:rPr>
                <w:t>Lease, dated September 24, 2007, between</w:t>
              </w:r>
            </w:hyperlink>
          </w:p>
        </w:tc>
        <w:tc>
          <w:tcPr>
            <w:tcW w:w="40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3/19/18</w:t>
            </w:r>
          </w:p>
        </w:tc>
        <w:tc>
          <w:tcPr>
            <w:tcW w:w="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00" w:type="dxa"/>
            <w:vAlign w:val="bottom"/>
            <w:gridSpan w:val="22"/>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RAR2 Boston Industrial QRS-MA, Inc. and</w:t>
              </w:r>
            </w:hyperlink>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16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r:id="rId55">
              <w:r>
                <w:rPr>
                  <w:rFonts w:ascii="Arial" w:cs="Arial" w:eastAsia="Arial" w:hAnsi="Arial"/>
                  <w:sz w:val="18"/>
                  <w:szCs w:val="18"/>
                  <w:color w:val="0000EE"/>
                </w:rPr>
                <w:t>Aushon Biosystems, Inc.</w:t>
              </w:r>
            </w:hyperlink>
          </w:p>
        </w:tc>
        <w:tc>
          <w:tcPr>
            <w:tcW w:w="340" w:type="dxa"/>
            <w:vAlign w:val="bottom"/>
            <w:gridSpan w:val="2"/>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10.2.2</w:t>
            </w:r>
          </w:p>
        </w:tc>
        <w:tc>
          <w:tcPr>
            <w:tcW w:w="740" w:type="dxa"/>
            <w:vAlign w:val="bottom"/>
          </w:tcPr>
          <w:p>
            <w:pPr>
              <w:spacing w:after="0"/>
              <w:rPr>
                <w:sz w:val="24"/>
                <w:szCs w:val="24"/>
                <w:color w:val="auto"/>
              </w:rPr>
            </w:pPr>
          </w:p>
        </w:tc>
        <w:tc>
          <w:tcPr>
            <w:tcW w:w="3100" w:type="dxa"/>
            <w:vAlign w:val="bottom"/>
            <w:tcBorders>
              <w:bottom w:val="single" w:sz="8" w:color="0000EE"/>
            </w:tcBorders>
            <w:gridSpan w:val="19"/>
          </w:tcPr>
          <w:p>
            <w:pPr>
              <w:spacing w:after="0"/>
              <w:rPr>
                <w:rFonts w:ascii="Arial" w:cs="Arial" w:eastAsia="Arial" w:hAnsi="Arial"/>
                <w:sz w:val="18"/>
                <w:szCs w:val="18"/>
                <w:color w:val="0000EE"/>
                <w:w w:val="90"/>
              </w:rPr>
            </w:pPr>
            <w:hyperlink r:id="rId56">
              <w:r>
                <w:rPr>
                  <w:rFonts w:ascii="Arial" w:cs="Arial" w:eastAsia="Arial" w:hAnsi="Arial"/>
                  <w:sz w:val="18"/>
                  <w:szCs w:val="18"/>
                  <w:color w:val="0000EE"/>
                  <w:w w:val="90"/>
                </w:rPr>
                <w:t>First Amendment, dated October 28, 2009,</w:t>
              </w:r>
            </w:hyperlink>
          </w:p>
        </w:tc>
        <w:tc>
          <w:tcPr>
            <w:tcW w:w="40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3/19/18</w:t>
            </w:r>
          </w:p>
        </w:tc>
        <w:tc>
          <w:tcPr>
            <w:tcW w:w="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00" w:type="dxa"/>
            <w:vAlign w:val="bottom"/>
            <w:gridSpan w:val="22"/>
          </w:tcPr>
          <w:p>
            <w:pPr>
              <w:spacing w:after="0" w:line="196" w:lineRule="exact"/>
              <w:rPr>
                <w:rFonts w:ascii="Arial" w:cs="Arial" w:eastAsia="Arial" w:hAnsi="Arial"/>
                <w:sz w:val="18"/>
                <w:szCs w:val="18"/>
                <w:color w:val="0000EE"/>
              </w:rPr>
            </w:pPr>
            <w:hyperlink r:id="rId56">
              <w:r>
                <w:rPr>
                  <w:rFonts w:ascii="Arial" w:cs="Arial" w:eastAsia="Arial" w:hAnsi="Arial"/>
                  <w:sz w:val="18"/>
                  <w:szCs w:val="18"/>
                  <w:color w:val="0000EE"/>
                </w:rPr>
                <w:t>to Lease, dated September 24, 2007,</w:t>
              </w:r>
            </w:hyperlink>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between RAR2 Boston Industrial QRS-</w:t>
              </w:r>
            </w:hyperlink>
          </w:p>
        </w:tc>
        <w:tc>
          <w:tcPr>
            <w:tcW w:w="64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2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r:id="rId56">
              <w:r>
                <w:rPr>
                  <w:rFonts w:ascii="Arial" w:cs="Arial" w:eastAsia="Arial" w:hAnsi="Arial"/>
                  <w:sz w:val="18"/>
                  <w:szCs w:val="18"/>
                  <w:color w:val="0000EE"/>
                  <w:w w:val="92"/>
                </w:rPr>
                <w:t>MA, Inc. and Aushon Biosystems, Inc.</w:t>
              </w:r>
            </w:hyperlink>
          </w:p>
        </w:tc>
        <w:tc>
          <w:tcPr>
            <w:tcW w:w="680" w:type="dxa"/>
            <w:vAlign w:val="bottom"/>
            <w:gridSpan w:val="10"/>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10.2.3</w:t>
            </w:r>
          </w:p>
        </w:tc>
        <w:tc>
          <w:tcPr>
            <w:tcW w:w="740" w:type="dxa"/>
            <w:vAlign w:val="bottom"/>
          </w:tcPr>
          <w:p>
            <w:pPr>
              <w:spacing w:after="0"/>
              <w:rPr>
                <w:sz w:val="24"/>
                <w:szCs w:val="24"/>
                <w:color w:val="auto"/>
              </w:rPr>
            </w:pPr>
          </w:p>
        </w:tc>
        <w:tc>
          <w:tcPr>
            <w:tcW w:w="3040" w:type="dxa"/>
            <w:vAlign w:val="bottom"/>
            <w:tcBorders>
              <w:bottom w:val="single" w:sz="8" w:color="0000EE"/>
            </w:tcBorders>
            <w:gridSpan w:val="17"/>
          </w:tcPr>
          <w:p>
            <w:pPr>
              <w:spacing w:after="0"/>
              <w:rPr>
                <w:rFonts w:ascii="Arial" w:cs="Arial" w:eastAsia="Arial" w:hAnsi="Arial"/>
                <w:sz w:val="18"/>
                <w:szCs w:val="18"/>
                <w:color w:val="0000EE"/>
                <w:w w:val="88"/>
              </w:rPr>
            </w:pPr>
            <w:hyperlink r:id="rId57">
              <w:r>
                <w:rPr>
                  <w:rFonts w:ascii="Arial" w:cs="Arial" w:eastAsia="Arial" w:hAnsi="Arial"/>
                  <w:sz w:val="18"/>
                  <w:szCs w:val="18"/>
                  <w:color w:val="0000EE"/>
                  <w:w w:val="88"/>
                </w:rPr>
                <w:t>Second Amendment, dated September 23,</w:t>
              </w:r>
            </w:hyperlink>
          </w:p>
        </w:tc>
        <w:tc>
          <w:tcPr>
            <w:tcW w:w="460" w:type="dxa"/>
            <w:vAlign w:val="bottom"/>
            <w:gridSpan w:val="5"/>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80" w:type="dxa"/>
            <w:vAlign w:val="bottom"/>
            <w:gridSpan w:val="2"/>
          </w:tcPr>
          <w:p>
            <w:pPr>
              <w:jc w:val="center"/>
              <w:ind w:right="260"/>
              <w:spacing w:after="0"/>
              <w:rPr>
                <w:sz w:val="20"/>
                <w:szCs w:val="20"/>
                <w:color w:val="auto"/>
              </w:rPr>
            </w:pPr>
            <w:r>
              <w:rPr>
                <w:rFonts w:ascii="Arial" w:cs="Arial" w:eastAsia="Arial" w:hAnsi="Arial"/>
                <w:sz w:val="18"/>
                <w:szCs w:val="18"/>
                <w:color w:val="auto"/>
                <w:w w:val="94"/>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3/19/18</w:t>
            </w:r>
          </w:p>
        </w:tc>
        <w:tc>
          <w:tcPr>
            <w:tcW w:w="280" w:type="dxa"/>
            <w:vAlign w:val="bottom"/>
          </w:tcPr>
          <w:p>
            <w:pPr>
              <w:spacing w:after="0"/>
              <w:rPr>
                <w:sz w:val="24"/>
                <w:szCs w:val="24"/>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001-38319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80" w:type="dxa"/>
            <w:vAlign w:val="bottom"/>
            <w:tcBorders>
              <w:bottom w:val="single" w:sz="8" w:color="0000EE"/>
            </w:tcBorders>
            <w:gridSpan w:val="18"/>
          </w:tcPr>
          <w:p>
            <w:pPr>
              <w:spacing w:after="0" w:line="196" w:lineRule="exact"/>
              <w:rPr>
                <w:rFonts w:ascii="Arial" w:cs="Arial" w:eastAsia="Arial" w:hAnsi="Arial"/>
                <w:sz w:val="18"/>
                <w:szCs w:val="18"/>
                <w:color w:val="0000EE"/>
                <w:w w:val="88"/>
              </w:rPr>
            </w:pPr>
            <w:hyperlink r:id="rId57">
              <w:r>
                <w:rPr>
                  <w:rFonts w:ascii="Arial" w:cs="Arial" w:eastAsia="Arial" w:hAnsi="Arial"/>
                  <w:sz w:val="18"/>
                  <w:szCs w:val="18"/>
                  <w:color w:val="0000EE"/>
                  <w:w w:val="88"/>
                </w:rPr>
                <w:t>2015, to Lease, dated September 24, 2007,</w:t>
              </w:r>
            </w:hyperlink>
          </w:p>
        </w:tc>
        <w:tc>
          <w:tcPr>
            <w:tcW w:w="420" w:type="dxa"/>
            <w:vAlign w:val="bottom"/>
            <w:gridSpan w:val="4"/>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60" w:type="dxa"/>
            <w:vAlign w:val="bottom"/>
            <w:tcBorders>
              <w:bottom w:val="single" w:sz="8" w:color="0000EE"/>
            </w:tcBorders>
            <w:gridSpan w:val="14"/>
          </w:tcPr>
          <w:p>
            <w:pPr>
              <w:spacing w:after="0" w:line="196" w:lineRule="exact"/>
              <w:rPr>
                <w:rFonts w:ascii="Arial" w:cs="Arial" w:eastAsia="Arial" w:hAnsi="Arial"/>
                <w:sz w:val="18"/>
                <w:szCs w:val="18"/>
                <w:color w:val="0000EE"/>
                <w:w w:val="91"/>
              </w:rPr>
            </w:pPr>
            <w:hyperlink r:id="rId57">
              <w:r>
                <w:rPr>
                  <w:rFonts w:ascii="Arial" w:cs="Arial" w:eastAsia="Arial" w:hAnsi="Arial"/>
                  <w:sz w:val="18"/>
                  <w:szCs w:val="18"/>
                  <w:color w:val="0000EE"/>
                  <w:w w:val="91"/>
                </w:rPr>
                <w:t>between RAR2 Boston Industrial QRS-</w:t>
              </w:r>
            </w:hyperlink>
          </w:p>
        </w:tc>
        <w:tc>
          <w:tcPr>
            <w:tcW w:w="640" w:type="dxa"/>
            <w:vAlign w:val="bottom"/>
            <w:gridSpan w:val="8"/>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00" w:type="dxa"/>
            <w:vAlign w:val="bottom"/>
            <w:gridSpan w:val="22"/>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MA, Inc. and Aushon Biosystems, Inc.</w:t>
              </w:r>
            </w:hyperlink>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0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31.1</w:t>
            </w:r>
          </w:p>
        </w:tc>
        <w:tc>
          <w:tcPr>
            <w:tcW w:w="740" w:type="dxa"/>
            <w:vAlign w:val="bottom"/>
          </w:tcPr>
          <w:p>
            <w:pPr>
              <w:spacing w:after="0"/>
              <w:rPr>
                <w:sz w:val="24"/>
                <w:szCs w:val="24"/>
                <w:color w:val="auto"/>
              </w:rPr>
            </w:pPr>
          </w:p>
        </w:tc>
        <w:tc>
          <w:tcPr>
            <w:tcW w:w="284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27">
              <w:r>
                <w:rPr>
                  <w:rFonts w:ascii="Arial" w:cs="Arial" w:eastAsia="Arial" w:hAnsi="Arial"/>
                  <w:sz w:val="18"/>
                  <w:szCs w:val="18"/>
                  <w:color w:val="0000EE"/>
                  <w:w w:val="93"/>
                </w:rPr>
                <w:t>Certification of the Principal Executive</w:t>
              </w:r>
            </w:hyperlink>
          </w:p>
        </w:tc>
        <w:tc>
          <w:tcPr>
            <w:tcW w:w="660" w:type="dxa"/>
            <w:vAlign w:val="bottom"/>
            <w:gridSpan w:val="9"/>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Officer pursuant to Section 302 of the</w:t>
              </w:r>
            </w:hyperlink>
          </w:p>
        </w:tc>
        <w:tc>
          <w:tcPr>
            <w:tcW w:w="760" w:type="dxa"/>
            <w:vAlign w:val="bottom"/>
            <w:gridSpan w:val="12"/>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Sarbanes-Oxley Act of 2002</w:t>
              </w:r>
            </w:hyperlink>
          </w:p>
        </w:tc>
        <w:tc>
          <w:tcPr>
            <w:tcW w:w="1440" w:type="dxa"/>
            <w:vAlign w:val="bottom"/>
            <w:gridSpan w:val="19"/>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31.2</w:t>
            </w:r>
          </w:p>
        </w:tc>
        <w:tc>
          <w:tcPr>
            <w:tcW w:w="740" w:type="dxa"/>
            <w:vAlign w:val="bottom"/>
          </w:tcPr>
          <w:p>
            <w:pPr>
              <w:spacing w:after="0"/>
              <w:rPr>
                <w:sz w:val="24"/>
                <w:szCs w:val="24"/>
                <w:color w:val="auto"/>
              </w:rPr>
            </w:pPr>
          </w:p>
        </w:tc>
        <w:tc>
          <w:tcPr>
            <w:tcW w:w="3500" w:type="dxa"/>
            <w:vAlign w:val="bottom"/>
            <w:gridSpan w:val="22"/>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Certification of the Principal Financial</w:t>
              </w:r>
            </w:hyperlink>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w:anchor="page28">
              <w:r>
                <w:rPr>
                  <w:rFonts w:ascii="Arial" w:cs="Arial" w:eastAsia="Arial" w:hAnsi="Arial"/>
                  <w:sz w:val="18"/>
                  <w:szCs w:val="18"/>
                  <w:color w:val="0000EE"/>
                  <w:w w:val="91"/>
                </w:rPr>
                <w:t>Officer pursuant to Section 302 of the</w:t>
              </w:r>
            </w:hyperlink>
          </w:p>
        </w:tc>
        <w:tc>
          <w:tcPr>
            <w:tcW w:w="60" w:type="dxa"/>
            <w:vAlign w:val="bottom"/>
            <w:tcBorders>
              <w:top w:val="single" w:sz="8" w:color="0000EE"/>
            </w:tcBorders>
          </w:tcPr>
          <w:p>
            <w:pPr>
              <w:spacing w:after="0"/>
              <w:rPr>
                <w:sz w:val="17"/>
                <w:szCs w:val="17"/>
                <w:color w:val="auto"/>
              </w:rPr>
            </w:pPr>
          </w:p>
        </w:tc>
        <w:tc>
          <w:tcPr>
            <w:tcW w:w="700" w:type="dxa"/>
            <w:vAlign w:val="bottom"/>
            <w:gridSpan w:val="11"/>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Sarbanes-Oxley Act of 2002</w:t>
              </w:r>
            </w:hyperlink>
          </w:p>
        </w:tc>
        <w:tc>
          <w:tcPr>
            <w:tcW w:w="1440" w:type="dxa"/>
            <w:vAlign w:val="bottom"/>
            <w:gridSpan w:val="19"/>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00" w:type="dxa"/>
            <w:vAlign w:val="bottom"/>
            <w:gridSpan w:val="2"/>
          </w:tcPr>
          <w:p>
            <w:pPr>
              <w:spacing w:after="0"/>
              <w:rPr>
                <w:sz w:val="20"/>
                <w:szCs w:val="20"/>
                <w:color w:val="auto"/>
              </w:rPr>
            </w:pPr>
            <w:r>
              <w:rPr>
                <w:rFonts w:ascii="Arial" w:cs="Arial" w:eastAsia="Arial" w:hAnsi="Arial"/>
                <w:sz w:val="18"/>
                <w:szCs w:val="18"/>
                <w:color w:val="auto"/>
              </w:rPr>
              <w:t>32.1</w:t>
            </w:r>
          </w:p>
        </w:tc>
        <w:tc>
          <w:tcPr>
            <w:tcW w:w="740" w:type="dxa"/>
            <w:vAlign w:val="bottom"/>
          </w:tcPr>
          <w:p>
            <w:pPr>
              <w:spacing w:after="0"/>
              <w:rPr>
                <w:sz w:val="24"/>
                <w:szCs w:val="24"/>
                <w:color w:val="auto"/>
              </w:rPr>
            </w:pPr>
          </w:p>
        </w:tc>
        <w:tc>
          <w:tcPr>
            <w:tcW w:w="26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Certifications of the Chief Executive</w:t>
              </w:r>
            </w:hyperlink>
          </w:p>
        </w:tc>
        <w:tc>
          <w:tcPr>
            <w:tcW w:w="840" w:type="dxa"/>
            <w:vAlign w:val="bottom"/>
            <w:gridSpan w:val="14"/>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0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Officer and Chief Financial Officer</w:t>
              </w:r>
            </w:hyperlink>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50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pursuant to Section 906 of the Sarbanes-</w:t>
              </w:r>
            </w:hyperlink>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3"/>
              </w:rPr>
            </w:pPr>
            <w:hyperlink w:anchor="page29">
              <w:r>
                <w:rPr>
                  <w:rFonts w:ascii="Arial" w:cs="Arial" w:eastAsia="Arial" w:hAnsi="Arial"/>
                  <w:sz w:val="18"/>
                  <w:szCs w:val="18"/>
                  <w:color w:val="0000EE"/>
                  <w:w w:val="93"/>
                </w:rPr>
                <w:t>Oxley Act of 2002.</w:t>
              </w:r>
            </w:hyperlink>
          </w:p>
        </w:tc>
        <w:tc>
          <w:tcPr>
            <w:tcW w:w="1520" w:type="dxa"/>
            <w:vAlign w:val="bottom"/>
            <w:tcBorders>
              <w:top w:val="single" w:sz="8" w:color="0000EE"/>
            </w:tcBorders>
            <w:gridSpan w:val="14"/>
          </w:tcPr>
          <w:p>
            <w:pPr>
              <w:spacing w:after="0"/>
              <w:rPr>
                <w:sz w:val="17"/>
                <w:szCs w:val="17"/>
                <w:color w:val="auto"/>
              </w:rPr>
            </w:pPr>
          </w:p>
        </w:tc>
        <w:tc>
          <w:tcPr>
            <w:tcW w:w="580" w:type="dxa"/>
            <w:vAlign w:val="bottom"/>
            <w:gridSpan w:val="7"/>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100" w:type="dxa"/>
            <w:vAlign w:val="bottom"/>
            <w:gridSpan w:val="2"/>
          </w:tcPr>
          <w:p>
            <w:pPr>
              <w:spacing w:after="0"/>
              <w:rPr>
                <w:sz w:val="20"/>
                <w:szCs w:val="20"/>
                <w:color w:val="auto"/>
              </w:rPr>
            </w:pPr>
            <w:r>
              <w:rPr>
                <w:rFonts w:ascii="Arial" w:cs="Arial" w:eastAsia="Arial" w:hAnsi="Arial"/>
                <w:sz w:val="18"/>
                <w:szCs w:val="18"/>
                <w:color w:val="auto"/>
              </w:rPr>
              <w:t>101</w:t>
            </w:r>
          </w:p>
        </w:tc>
        <w:tc>
          <w:tcPr>
            <w:tcW w:w="740" w:type="dxa"/>
            <w:vAlign w:val="bottom"/>
          </w:tcPr>
          <w:p>
            <w:pPr>
              <w:spacing w:after="0"/>
              <w:rPr>
                <w:sz w:val="20"/>
                <w:szCs w:val="20"/>
                <w:color w:val="auto"/>
              </w:rPr>
            </w:pPr>
            <w:r>
              <w:rPr>
                <w:rFonts w:ascii="Arial" w:cs="Arial" w:eastAsia="Arial" w:hAnsi="Arial"/>
                <w:sz w:val="18"/>
                <w:szCs w:val="18"/>
                <w:color w:val="auto"/>
              </w:rPr>
              <w:t>.INS</w:t>
            </w:r>
          </w:p>
        </w:tc>
        <w:tc>
          <w:tcPr>
            <w:tcW w:w="350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.SCH</w:t>
            </w:r>
          </w:p>
        </w:tc>
        <w:tc>
          <w:tcPr>
            <w:tcW w:w="3500" w:type="dxa"/>
            <w:vAlign w:val="bottom"/>
            <w:gridSpan w:val="22"/>
          </w:tcPr>
          <w:p>
            <w:pPr>
              <w:spacing w:after="0"/>
              <w:rPr>
                <w:sz w:val="20"/>
                <w:szCs w:val="20"/>
                <w:color w:val="auto"/>
              </w:rPr>
            </w:pPr>
            <w:r>
              <w:rPr>
                <w:rFonts w:ascii="Arial" w:cs="Arial" w:eastAsia="Arial" w:hAnsi="Arial"/>
                <w:sz w:val="18"/>
                <w:szCs w:val="18"/>
                <w:color w:val="auto"/>
              </w:rPr>
              <w:t>XBRL Taxonomy Extension Schema</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00" w:type="dxa"/>
            <w:vAlign w:val="bottom"/>
            <w:gridSpan w:val="22"/>
          </w:tcPr>
          <w:p>
            <w:pPr>
              <w:spacing w:after="0"/>
              <w:rPr>
                <w:sz w:val="20"/>
                <w:szCs w:val="20"/>
                <w:color w:val="auto"/>
              </w:rPr>
            </w:pPr>
            <w:r>
              <w:rPr>
                <w:rFonts w:ascii="Arial" w:cs="Arial" w:eastAsia="Arial" w:hAnsi="Arial"/>
                <w:sz w:val="18"/>
                <w:szCs w:val="18"/>
                <w:color w:val="auto"/>
              </w:rPr>
              <w:t>Document.</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.CAL</w:t>
            </w:r>
          </w:p>
        </w:tc>
        <w:tc>
          <w:tcPr>
            <w:tcW w:w="3500" w:type="dxa"/>
            <w:vAlign w:val="bottom"/>
            <w:gridSpan w:val="22"/>
          </w:tcPr>
          <w:p>
            <w:pPr>
              <w:spacing w:after="0"/>
              <w:rPr>
                <w:sz w:val="20"/>
                <w:szCs w:val="20"/>
                <w:color w:val="auto"/>
              </w:rPr>
            </w:pPr>
            <w:r>
              <w:rPr>
                <w:rFonts w:ascii="Arial" w:cs="Arial" w:eastAsia="Arial" w:hAnsi="Arial"/>
                <w:sz w:val="18"/>
                <w:szCs w:val="18"/>
                <w:color w:val="auto"/>
              </w:rPr>
              <w:t>XBRL Taxonomy Extension Calculation</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00" w:type="dxa"/>
            <w:vAlign w:val="bottom"/>
            <w:gridSpan w:val="22"/>
          </w:tcPr>
          <w:p>
            <w:pPr>
              <w:spacing w:after="0"/>
              <w:rPr>
                <w:sz w:val="20"/>
                <w:szCs w:val="20"/>
                <w:color w:val="auto"/>
              </w:rPr>
            </w:pPr>
            <w:r>
              <w:rPr>
                <w:rFonts w:ascii="Arial" w:cs="Arial" w:eastAsia="Arial" w:hAnsi="Arial"/>
                <w:sz w:val="18"/>
                <w:szCs w:val="18"/>
                <w:color w:val="auto"/>
              </w:rPr>
              <w:t>Linkbase Document.</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.DEF</w:t>
            </w:r>
          </w:p>
        </w:tc>
        <w:tc>
          <w:tcPr>
            <w:tcW w:w="3500" w:type="dxa"/>
            <w:vAlign w:val="bottom"/>
            <w:gridSpan w:val="22"/>
          </w:tcPr>
          <w:p>
            <w:pPr>
              <w:spacing w:after="0"/>
              <w:rPr>
                <w:sz w:val="20"/>
                <w:szCs w:val="20"/>
                <w:color w:val="auto"/>
              </w:rPr>
            </w:pPr>
            <w:r>
              <w:rPr>
                <w:rFonts w:ascii="Arial" w:cs="Arial" w:eastAsia="Arial" w:hAnsi="Arial"/>
                <w:sz w:val="18"/>
                <w:szCs w:val="18"/>
                <w:color w:val="auto"/>
              </w:rPr>
              <w:t>XBRL Taxonomy Extension Definition.</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.LAB</w:t>
            </w:r>
          </w:p>
        </w:tc>
        <w:tc>
          <w:tcPr>
            <w:tcW w:w="3500" w:type="dxa"/>
            <w:vAlign w:val="bottom"/>
            <w:gridSpan w:val="22"/>
          </w:tcPr>
          <w:p>
            <w:pPr>
              <w:spacing w:after="0"/>
              <w:rPr>
                <w:sz w:val="20"/>
                <w:szCs w:val="20"/>
                <w:color w:val="auto"/>
              </w:rPr>
            </w:pPr>
            <w:r>
              <w:rPr>
                <w:rFonts w:ascii="Arial" w:cs="Arial" w:eastAsia="Arial" w:hAnsi="Arial"/>
                <w:sz w:val="18"/>
                <w:szCs w:val="18"/>
                <w:color w:val="auto"/>
              </w:rPr>
              <w:t>XBRL Taxonomy Extension Label</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00" w:type="dxa"/>
            <w:vAlign w:val="bottom"/>
            <w:gridSpan w:val="22"/>
          </w:tcPr>
          <w:p>
            <w:pPr>
              <w:spacing w:after="0"/>
              <w:rPr>
                <w:sz w:val="20"/>
                <w:szCs w:val="20"/>
                <w:color w:val="auto"/>
              </w:rPr>
            </w:pPr>
            <w:r>
              <w:rPr>
                <w:rFonts w:ascii="Arial" w:cs="Arial" w:eastAsia="Arial" w:hAnsi="Arial"/>
                <w:sz w:val="18"/>
                <w:szCs w:val="18"/>
                <w:color w:val="auto"/>
              </w:rPr>
              <w:t>Linkbase Document.</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.PRE</w:t>
            </w:r>
          </w:p>
        </w:tc>
        <w:tc>
          <w:tcPr>
            <w:tcW w:w="350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w:t>
            </w:r>
          </w:p>
        </w:tc>
        <w:tc>
          <w:tcPr>
            <w:tcW w:w="120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X</w:t>
            </w:r>
          </w:p>
        </w:tc>
        <w:tc>
          <w:tcPr>
            <w:tcW w:w="1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500" w:type="dxa"/>
            <w:vAlign w:val="bottom"/>
            <w:gridSpan w:val="22"/>
          </w:tcPr>
          <w:p>
            <w:pPr>
              <w:spacing w:after="0"/>
              <w:rPr>
                <w:sz w:val="20"/>
                <w:szCs w:val="20"/>
                <w:color w:val="auto"/>
              </w:rPr>
            </w:pPr>
            <w:r>
              <w:rPr>
                <w:rFonts w:ascii="Arial" w:cs="Arial" w:eastAsia="Arial" w:hAnsi="Arial"/>
                <w:sz w:val="18"/>
                <w:szCs w:val="18"/>
                <w:color w:val="auto"/>
              </w:rPr>
              <w:t>Linkbase Document.</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57" w:orient="portrait"/>
          <w:cols w:equalWidth="0" w:num="1">
            <w:col w:w="11420"/>
          </w:cols>
          <w:pgMar w:left="240" w:top="125" w:right="239" w:bottom="0" w:gutter="0" w:footer="0" w:header="0"/>
        </w:sectPr>
      </w:pPr>
    </w:p>
    <w:bookmarkStart w:id="23" w:name="page24"/>
    <w:bookmarkEnd w:id="23"/>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1826895" cy="8890"/>
                    </a:xfrm>
                    <a:prstGeom prst="rect">
                      <a:avLst/>
                    </a:prstGeom>
                    <a:noFill/>
                  </pic:spPr>
                </pic:pic>
              </a:graphicData>
            </a:graphic>
          </wp:anchor>
        </w:drawing>
        <w:t>Management contract or compensatory plan or arrangement.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00" w:firstLine="441"/>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7960" w:type="dxa"/>
            <w:vAlign w:val="bottom"/>
            <w:gridSpan w:val="3"/>
          </w:tcPr>
          <w:p>
            <w:pPr>
              <w:ind w:left="1920"/>
              <w:spacing w:after="0"/>
              <w:rPr>
                <w:sz w:val="20"/>
                <w:szCs w:val="20"/>
                <w:color w:val="auto"/>
              </w:rPr>
            </w:pPr>
            <w:r>
              <w:rPr>
                <w:rFonts w:ascii="Arial" w:cs="Arial" w:eastAsia="Arial" w:hAnsi="Arial"/>
                <w:sz w:val="18"/>
                <w:szCs w:val="18"/>
                <w:b w:val="1"/>
                <w:bCs w:val="1"/>
                <w:color w:val="auto"/>
              </w:rPr>
              <w:t>QUANTERIX CORPORATION</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Dated: May 15, 2018</w:t>
            </w:r>
          </w:p>
        </w:tc>
        <w:tc>
          <w:tcPr>
            <w:tcW w:w="2280" w:type="dxa"/>
            <w:vAlign w:val="bottom"/>
          </w:tcPr>
          <w:p>
            <w:pPr>
              <w:ind w:left="1920"/>
              <w:spacing w:after="0"/>
              <w:rPr>
                <w:sz w:val="20"/>
                <w:szCs w:val="20"/>
                <w:color w:val="auto"/>
              </w:rPr>
            </w:pPr>
            <w:r>
              <w:rPr>
                <w:rFonts w:ascii="Arial" w:cs="Arial" w:eastAsia="Arial" w:hAnsi="Arial"/>
                <w:sz w:val="18"/>
                <w:szCs w:val="18"/>
                <w:color w:val="auto"/>
              </w:rPr>
              <w:t>By:</w:t>
            </w: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/s/ E. Kevin Hrusovsky</w:t>
            </w:r>
          </w:p>
        </w:tc>
      </w:tr>
      <w:tr>
        <w:trPr>
          <w:trHeight w:val="195"/>
        </w:trPr>
        <w:tc>
          <w:tcPr>
            <w:tcW w:w="34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/s/ E. Kevin Hrusovsky</w:t>
            </w:r>
          </w:p>
        </w:tc>
      </w:tr>
      <w:tr>
        <w:trPr>
          <w:trHeight w:val="216"/>
        </w:trPr>
        <w:tc>
          <w:tcPr>
            <w:tcW w:w="3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4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580" w:type="dxa"/>
            <w:vAlign w:val="bottom"/>
          </w:tcPr>
          <w:p>
            <w:pPr>
              <w:ind w:left="180"/>
              <w:spacing w:after="0"/>
              <w:rPr>
                <w:sz w:val="20"/>
                <w:szCs w:val="20"/>
                <w:color w:val="auto"/>
              </w:rPr>
            </w:pPr>
            <w:r>
              <w:rPr>
                <w:rFonts w:ascii="Arial" w:cs="Arial" w:eastAsia="Arial" w:hAnsi="Arial"/>
                <w:sz w:val="18"/>
                <w:szCs w:val="18"/>
                <w:color w:val="auto"/>
              </w:rPr>
              <w:t>(principal executive officer)</w:t>
            </w:r>
          </w:p>
        </w:tc>
      </w:tr>
      <w:tr>
        <w:trPr>
          <w:trHeight w:val="648"/>
        </w:trPr>
        <w:tc>
          <w:tcPr>
            <w:tcW w:w="3460" w:type="dxa"/>
            <w:vAlign w:val="bottom"/>
          </w:tcPr>
          <w:p>
            <w:pPr>
              <w:spacing w:after="0"/>
              <w:rPr>
                <w:sz w:val="20"/>
                <w:szCs w:val="20"/>
                <w:color w:val="auto"/>
              </w:rPr>
            </w:pPr>
            <w:r>
              <w:rPr>
                <w:rFonts w:ascii="Arial" w:cs="Arial" w:eastAsia="Arial" w:hAnsi="Arial"/>
                <w:sz w:val="18"/>
                <w:szCs w:val="18"/>
                <w:color w:val="auto"/>
              </w:rPr>
              <w:t>Dated: May 15, 2018</w:t>
            </w:r>
          </w:p>
        </w:tc>
        <w:tc>
          <w:tcPr>
            <w:tcW w:w="2280" w:type="dxa"/>
            <w:vAlign w:val="bottom"/>
          </w:tcPr>
          <w:p>
            <w:pPr>
              <w:ind w:left="1920"/>
              <w:spacing w:after="0"/>
              <w:rPr>
                <w:sz w:val="20"/>
                <w:szCs w:val="20"/>
                <w:color w:val="auto"/>
              </w:rPr>
            </w:pPr>
            <w:r>
              <w:rPr>
                <w:rFonts w:ascii="Arial" w:cs="Arial" w:eastAsia="Arial" w:hAnsi="Arial"/>
                <w:sz w:val="18"/>
                <w:szCs w:val="18"/>
                <w:color w:val="auto"/>
              </w:rPr>
              <w:t>By:</w:t>
            </w:r>
          </w:p>
        </w:tc>
        <w:tc>
          <w:tcPr>
            <w:tcW w:w="5680" w:type="dxa"/>
            <w:vAlign w:val="bottom"/>
            <w:gridSpan w:val="2"/>
          </w:tcPr>
          <w:p>
            <w:pPr>
              <w:ind w:left="100"/>
              <w:spacing w:after="0"/>
              <w:rPr>
                <w:sz w:val="20"/>
                <w:szCs w:val="20"/>
                <w:color w:val="auto"/>
              </w:rPr>
            </w:pPr>
            <w:r>
              <w:rPr>
                <w:rFonts w:ascii="Arial" w:cs="Arial" w:eastAsia="Arial" w:hAnsi="Arial"/>
                <w:sz w:val="18"/>
                <w:szCs w:val="18"/>
                <w:color w:val="auto"/>
              </w:rPr>
              <w:t>/s/ Joseph Driscoll</w:t>
            </w:r>
          </w:p>
        </w:tc>
      </w:tr>
      <w:tr>
        <w:trPr>
          <w:trHeight w:val="211"/>
        </w:trPr>
        <w:tc>
          <w:tcPr>
            <w:tcW w:w="34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58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 Joseph Driscoll</w:t>
            </w:r>
          </w:p>
        </w:tc>
      </w:tr>
    </w:tbl>
    <w:p>
      <w:pPr>
        <w:ind w:left="6020"/>
        <w:spacing w:after="0"/>
        <w:rPr>
          <w:sz w:val="20"/>
          <w:szCs w:val="20"/>
          <w:color w:val="auto"/>
        </w:rPr>
      </w:pPr>
      <w:r>
        <w:rPr>
          <w:rFonts w:ascii="Arial" w:cs="Arial" w:eastAsia="Arial" w:hAnsi="Arial"/>
          <w:sz w:val="18"/>
          <w:szCs w:val="18"/>
          <w:color w:val="auto"/>
        </w:rPr>
        <w:t>Chief Financial Officer</w:t>
      </w:r>
    </w:p>
    <w:p>
      <w:pPr>
        <w:spacing w:after="0" w:line="7"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71" w:right="239" w:bottom="1440" w:gutter="0" w:footer="0" w:header="0"/>
        </w:sectPr>
      </w:pPr>
    </w:p>
    <w:bookmarkStart w:id="24" w:name="page25"/>
    <w:bookmarkEnd w:id="24"/>
    <w:p>
      <w:pPr>
        <w:spacing w:after="0" w:line="4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154940</wp:posOffset>
            </wp:positionV>
            <wp:extent cx="1123315" cy="1689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123315" cy="1689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February 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Dawn Mattoon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Dawn:</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Quanterix Corporation (the “Company”) is pleased to offer you the full-time position of SVP, Strategic Marketing &amp; Assay Operations, reporting to Kevin Hrusovsky, CEO and Executive Chairman. Your effective date of hire as a regular full-time employee will be determined upon your acceptance of this offer. We are excited about the prospect of you joining our team.</w:t>
      </w:r>
    </w:p>
    <w:p>
      <w:pPr>
        <w:spacing w:after="0" w:line="181"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 xml:space="preserve">Salary: </w:t>
      </w:r>
      <w:r>
        <w:rPr>
          <w:rFonts w:ascii="Arial" w:cs="Arial" w:eastAsia="Arial" w:hAnsi="Arial"/>
          <w:sz w:val="17"/>
          <w:szCs w:val="17"/>
          <w:color w:val="auto"/>
        </w:rPr>
        <w:t>The Company will pay you a salary at an annual rate of $280,000, paid at a bi-weekly rate of $10,769.23 (subject to periodic review and adjustment at</w:t>
      </w:r>
      <w:r>
        <w:rPr>
          <w:rFonts w:ascii="Arial" w:cs="Arial" w:eastAsia="Arial" w:hAnsi="Arial"/>
          <w:sz w:val="18"/>
          <w:szCs w:val="18"/>
          <w:color w:val="auto"/>
        </w:rPr>
        <w:t xml:space="preserve"> </w:t>
      </w:r>
      <w:r>
        <w:rPr>
          <w:rFonts w:ascii="Arial" w:cs="Arial" w:eastAsia="Arial" w:hAnsi="Arial"/>
          <w:sz w:val="17"/>
          <w:szCs w:val="17"/>
          <w:color w:val="auto"/>
        </w:rPr>
        <w:t>the discretion of the Company).</w:t>
      </w:r>
    </w:p>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Bonus: You will be eligible to receive an annual performance bonus. The Company will target the bonus at up to 40% of your annual base salary earnings. The actual bonus percentage is discretionary and will be subject to your achievement of the metrics and goals established by and agreed to with Kevin Hrusovsky. The bonus also will be subject to your employment for the full period covered by the bonus, approval by and adjustment at the discretion of the Company and Company’s Board of Directors, and the terms of any applicable bonus plan. You must be actively employed by Quanterix on the date the bonus is paid to receive a performance bonus.</w:t>
      </w:r>
    </w:p>
    <w:p>
      <w:pPr>
        <w:spacing w:after="0" w:line="188" w:lineRule="exact"/>
        <w:rPr>
          <w:sz w:val="20"/>
          <w:szCs w:val="20"/>
          <w:color w:val="auto"/>
        </w:rPr>
      </w:pPr>
    </w:p>
    <w:p>
      <w:pPr>
        <w:ind w:right="440"/>
        <w:spacing w:after="0" w:line="275" w:lineRule="auto"/>
        <w:rPr>
          <w:sz w:val="20"/>
          <w:szCs w:val="20"/>
          <w:color w:val="auto"/>
        </w:rPr>
      </w:pPr>
      <w:r>
        <w:rPr>
          <w:rFonts w:ascii="Arial" w:cs="Arial" w:eastAsia="Arial" w:hAnsi="Arial"/>
          <w:sz w:val="18"/>
          <w:szCs w:val="18"/>
          <w:color w:val="auto"/>
        </w:rPr>
        <w:t xml:space="preserve">Benefits: </w:t>
      </w:r>
      <w:r>
        <w:rPr>
          <w:rFonts w:ascii="Arial" w:cs="Arial" w:eastAsia="Arial" w:hAnsi="Arial"/>
          <w:sz w:val="17"/>
          <w:szCs w:val="17"/>
          <w:color w:val="auto"/>
        </w:rPr>
        <w:t>You will be eligible to participate in the employee benefits and insurance programs generally made available to its full-time employees, including</w:t>
      </w:r>
      <w:r>
        <w:rPr>
          <w:rFonts w:ascii="Arial" w:cs="Arial" w:eastAsia="Arial" w:hAnsi="Arial"/>
          <w:sz w:val="18"/>
          <w:szCs w:val="18"/>
          <w:color w:val="auto"/>
        </w:rPr>
        <w:t xml:space="preserve"> </w:t>
      </w:r>
      <w:r>
        <w:rPr>
          <w:rFonts w:ascii="Arial" w:cs="Arial" w:eastAsia="Arial" w:hAnsi="Arial"/>
          <w:sz w:val="17"/>
          <w:szCs w:val="17"/>
          <w:color w:val="auto"/>
        </w:rPr>
        <w:t>medical insurance, dental insurance, 401K Plan, Flexible Spending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1112520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545465</wp:posOffset>
            </wp:positionH>
            <wp:positionV relativeFrom="paragraph">
              <wp:posOffset>119380</wp:posOffset>
            </wp:positionV>
            <wp:extent cx="6174740" cy="788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6174740" cy="7886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ind w:right="140"/>
        <w:spacing w:after="0" w:line="286" w:lineRule="auto"/>
        <w:rPr>
          <w:sz w:val="20"/>
          <w:szCs w:val="20"/>
          <w:color w:val="auto"/>
        </w:rPr>
      </w:pPr>
      <w:r>
        <w:rPr>
          <w:rFonts w:ascii="Arial" w:cs="Arial" w:eastAsia="Arial" w:hAnsi="Arial"/>
          <w:sz w:val="17"/>
          <w:szCs w:val="17"/>
          <w:color w:val="auto"/>
        </w:rPr>
        <w:t>Account, term life insurance, and short and long term disability insurance. Details of these benefits programs, including mandatory employee contributions, will be made available to you when you start. You also will be eligible to receive paid vacation time. You will be eligible for up to 20 days of paid vacation per year, which shall accrue on a prorated basis. Other provisions of the Company’s vacation policy are set forth in the policy itself.</w:t>
      </w:r>
    </w:p>
    <w:p>
      <w:pPr>
        <w:spacing w:after="0" w:line="166" w:lineRule="exact"/>
        <w:rPr>
          <w:sz w:val="20"/>
          <w:szCs w:val="20"/>
          <w:color w:val="auto"/>
        </w:rPr>
      </w:pPr>
    </w:p>
    <w:p>
      <w:pPr>
        <w:ind w:right="140"/>
        <w:spacing w:after="0" w:line="267" w:lineRule="auto"/>
        <w:rPr>
          <w:sz w:val="20"/>
          <w:szCs w:val="20"/>
          <w:color w:val="auto"/>
        </w:rPr>
      </w:pPr>
      <w:r>
        <w:rPr>
          <w:rFonts w:ascii="Arial" w:cs="Arial" w:eastAsia="Arial" w:hAnsi="Arial"/>
          <w:sz w:val="18"/>
          <w:szCs w:val="18"/>
          <w:color w:val="auto"/>
        </w:rPr>
        <w:t xml:space="preserve">Stock Options &amp; RSUs: </w:t>
      </w:r>
      <w:r>
        <w:rPr>
          <w:rFonts w:ascii="Arial" w:cs="Arial" w:eastAsia="Arial" w:hAnsi="Arial"/>
          <w:sz w:val="17"/>
          <w:szCs w:val="17"/>
          <w:color w:val="auto"/>
        </w:rPr>
        <w:t>You will be eligible to participate in the Company’s stock option program, subject to approval by the Compensation Committee. We</w:t>
      </w:r>
      <w:r>
        <w:rPr>
          <w:rFonts w:ascii="Arial" w:cs="Arial" w:eastAsia="Arial" w:hAnsi="Arial"/>
          <w:sz w:val="18"/>
          <w:szCs w:val="18"/>
          <w:color w:val="auto"/>
        </w:rPr>
        <w:t xml:space="preserve"> </w:t>
      </w:r>
      <w:r>
        <w:rPr>
          <w:rFonts w:ascii="Arial" w:cs="Arial" w:eastAsia="Arial" w:hAnsi="Arial"/>
          <w:sz w:val="17"/>
          <w:szCs w:val="17"/>
          <w:color w:val="auto"/>
        </w:rPr>
        <w:t>will recommend to the Compensation Committee to approve that you be granted 10,000 Restricted Stock Units (RSUs) and an option to purchase 40,000 shares of the Company’s common stock at the stock’s then fair market value. The RSUs and options will vest over four years, with 25% vesting on the first anniversary of your start date, and the remaining vesting ratably on a monthly basis over the next three years. Your eligibility for stock options will be governed by the Quanterix 2017 Employee, Director and Consultant Equity Incentive Plan and any associated stock option agreement required to be entered into by you and the Company.</w:t>
      </w:r>
    </w:p>
    <w:p>
      <w:pPr>
        <w:spacing w:after="0" w:line="182"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Representation Regarding Other Obligations: This offer is conditioned on your representation that you are not subject to any confidentiality, non-competition agreement or any other similar type of restriction that may affect your ability to devote full time and attention to your work at the Company. If you have entered into any agreement that may restrict your activities on behalf of the Company, please provide me with a copy of the agreement as soon as possible.</w:t>
      </w:r>
    </w:p>
    <w:p>
      <w:pPr>
        <w:spacing w:after="0" w:line="14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Other Terms: Your employment with the Company shall be on an at-will basis. In other words, you or the Company may terminate employment for any reason and at any time, with or without notice. Similarly, the terms of employment outlined in this letter are subject to change at any time. You also will be required to sign the Company’s standard “Employee Non-Solicitation, Confidentiality and Assignment Agreement” as a condition of your employment. A copy of that Agreement is enclosed. In addition, as with all employees, our offer to you is contingent on your submission of satisfactory proof of your identity and your legal authorization to work in the United States.</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are excited about the opportunity to work with you at Quanterix. If you have any questions about this information, please do not hesitate to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7"/>
          <w:szCs w:val="17"/>
          <w:color w:val="auto"/>
        </w:rPr>
        <w:t>Otherwise, please confirm your acceptance of this offer of employment by signing below and returning a copy to me no later than February 5, 2018.</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are confident that with your background and skills, you will have an immediate positive impact on our organization.</w:t>
      </w:r>
    </w:p>
    <w:p>
      <w:pPr>
        <w:sectPr>
          <w:pgSz w:w="11900" w:h="16887" w:orient="portrait"/>
          <w:cols w:equalWidth="0" w:num="1">
            <w:col w:w="11420"/>
          </w:cols>
          <w:pgMar w:left="240" w:top="121" w:right="239" w:bottom="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Elisabeth Colunio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502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Elisabeth Colunio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Senior Director, Human Resources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40" w:type="dxa"/>
            <w:vAlign w:val="bottom"/>
            <w:gridSpan w:val="3"/>
          </w:tcPr>
          <w:p>
            <w:pPr>
              <w:spacing w:after="0"/>
              <w:rPr>
                <w:sz w:val="20"/>
                <w:szCs w:val="20"/>
                <w:color w:val="auto"/>
              </w:rPr>
            </w:pPr>
            <w:r>
              <w:rPr>
                <w:rFonts w:ascii="Arial" w:cs="Arial" w:eastAsia="Arial" w:hAnsi="Arial"/>
                <w:sz w:val="18"/>
                <w:szCs w:val="18"/>
                <w:color w:val="auto"/>
              </w:rPr>
              <w:t>Offer accepted:</w:t>
            </w:r>
          </w:p>
        </w:tc>
        <w:tc>
          <w:tcPr>
            <w:tcW w:w="54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5940" w:type="dxa"/>
            <w:vAlign w:val="bottom"/>
            <w:gridSpan w:val="3"/>
          </w:tcPr>
          <w:p>
            <w:pPr>
              <w:spacing w:after="0"/>
              <w:rPr>
                <w:sz w:val="20"/>
                <w:szCs w:val="20"/>
                <w:color w:val="auto"/>
              </w:rPr>
            </w:pPr>
            <w:r>
              <w:rPr>
                <w:rFonts w:ascii="Arial" w:cs="Arial" w:eastAsia="Arial" w:hAnsi="Arial"/>
                <w:sz w:val="18"/>
                <w:szCs w:val="18"/>
                <w:color w:val="auto"/>
              </w:rPr>
              <w:t>/s/ Dawn Mattoon</w:t>
            </w:r>
          </w:p>
        </w:tc>
        <w:tc>
          <w:tcPr>
            <w:tcW w:w="5480" w:type="dxa"/>
            <w:vAlign w:val="bottom"/>
          </w:tcPr>
          <w:p>
            <w:pPr>
              <w:spacing w:after="0"/>
              <w:rPr>
                <w:sz w:val="20"/>
                <w:szCs w:val="20"/>
                <w:color w:val="auto"/>
              </w:rPr>
            </w:pPr>
            <w:r>
              <w:rPr>
                <w:rFonts w:ascii="Arial" w:cs="Arial" w:eastAsia="Arial" w:hAnsi="Arial"/>
                <w:sz w:val="18"/>
                <w:szCs w:val="18"/>
                <w:color w:val="auto"/>
              </w:rPr>
              <w:t>5 Feb 2018</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5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Dawn Mattoon</w:t>
            </w:r>
          </w:p>
        </w:tc>
        <w:tc>
          <w:tcPr>
            <w:tcW w:w="340" w:type="dxa"/>
            <w:vAlign w:val="bottom"/>
          </w:tcPr>
          <w:p>
            <w:pPr>
              <w:spacing w:after="0"/>
              <w:rPr>
                <w:sz w:val="19"/>
                <w:szCs w:val="19"/>
                <w:color w:val="auto"/>
              </w:rPr>
            </w:pPr>
          </w:p>
        </w:tc>
        <w:tc>
          <w:tcPr>
            <w:tcW w:w="54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19"/>
                <w:szCs w:val="19"/>
                <w:color w:val="auto"/>
              </w:rPr>
            </w:pPr>
          </w:p>
        </w:tc>
      </w:tr>
      <w:tr>
        <w:trPr>
          <w:trHeight w:val="334"/>
        </w:trPr>
        <w:tc>
          <w:tcPr>
            <w:tcW w:w="20" w:type="dxa"/>
            <w:vAlign w:val="bottom"/>
            <w:tcBorders>
              <w:bottom w:val="single" w:sz="8" w:color="808080"/>
            </w:tcBorders>
          </w:tcPr>
          <w:p>
            <w:pPr>
              <w:spacing w:after="0"/>
              <w:rPr>
                <w:sz w:val="24"/>
                <w:szCs w:val="24"/>
                <w:color w:val="auto"/>
              </w:rPr>
            </w:pPr>
          </w:p>
        </w:tc>
        <w:tc>
          <w:tcPr>
            <w:tcW w:w="55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54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557" w:right="1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 Kevin Hrusovsky, certify that:</w:t>
      </w:r>
    </w:p>
    <w:p>
      <w:pPr>
        <w:spacing w:after="0" w:line="225" w:lineRule="exact"/>
        <w:rPr>
          <w:sz w:val="20"/>
          <w:szCs w:val="20"/>
          <w:color w:val="auto"/>
        </w:rPr>
      </w:pPr>
    </w:p>
    <w:p>
      <w:pPr>
        <w:ind w:left="1380" w:hanging="724"/>
        <w:spacing w:after="0"/>
        <w:tabs>
          <w:tab w:leader="none" w:pos="1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260" w:firstLine="656"/>
        <w:spacing w:after="0" w:line="264" w:lineRule="auto"/>
        <w:tabs>
          <w:tab w:leader="none" w:pos="13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420" w:firstLine="656"/>
        <w:spacing w:after="0" w:line="308" w:lineRule="auto"/>
        <w:tabs>
          <w:tab w:leader="none" w:pos="1368"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340" w:firstLine="656"/>
        <w:spacing w:after="0" w:line="277" w:lineRule="auto"/>
        <w:tabs>
          <w:tab w:leader="none" w:pos="13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right="180" w:firstLine="1305"/>
        <w:spacing w:after="0" w:line="264" w:lineRule="auto"/>
        <w:tabs>
          <w:tab w:leader="none" w:pos="1976"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305"/>
        <w:spacing w:after="0" w:line="342" w:lineRule="auto"/>
        <w:tabs>
          <w:tab w:leader="none" w:pos="1986"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0" w:firstLine="1305"/>
        <w:spacing w:after="0" w:line="264" w:lineRule="auto"/>
        <w:tabs>
          <w:tab w:leader="none" w:pos="202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80" w:firstLine="656"/>
        <w:spacing w:after="0" w:line="342" w:lineRule="auto"/>
        <w:tabs>
          <w:tab w:leader="none" w:pos="1368"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260" w:firstLine="1305"/>
        <w:spacing w:after="0" w:line="308" w:lineRule="auto"/>
        <w:tabs>
          <w:tab w:leader="none" w:pos="1976" w:val="left"/>
        </w:tabs>
        <w:numPr>
          <w:ilvl w:val="1"/>
          <w:numId w:val="1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305"/>
        <w:spacing w:after="0" w:line="277" w:lineRule="auto"/>
        <w:tabs>
          <w:tab w:leader="none" w:pos="1986"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E.Kevin Hrusovsky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 Kevin Hrusovsky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 UNDER SECTION 302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Joseph Driscoll, certify that:</w:t>
      </w:r>
    </w:p>
    <w:p>
      <w:pPr>
        <w:spacing w:after="0" w:line="225" w:lineRule="exact"/>
        <w:rPr>
          <w:sz w:val="20"/>
          <w:szCs w:val="20"/>
          <w:color w:val="auto"/>
        </w:rPr>
      </w:pPr>
    </w:p>
    <w:p>
      <w:pPr>
        <w:ind w:left="1380" w:hanging="724"/>
        <w:spacing w:after="0"/>
        <w:tabs>
          <w:tab w:leader="none" w:pos="1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Quanterix Corporation;</w:t>
      </w:r>
    </w:p>
    <w:p>
      <w:pPr>
        <w:spacing w:after="0" w:line="225" w:lineRule="exact"/>
        <w:rPr>
          <w:rFonts w:ascii="Arial" w:cs="Arial" w:eastAsia="Arial" w:hAnsi="Arial"/>
          <w:sz w:val="18"/>
          <w:szCs w:val="18"/>
          <w:color w:val="auto"/>
        </w:rPr>
      </w:pPr>
    </w:p>
    <w:p>
      <w:pPr>
        <w:jc w:val="both"/>
        <w:ind w:right="260" w:firstLine="656"/>
        <w:spacing w:after="0" w:line="264" w:lineRule="auto"/>
        <w:tabs>
          <w:tab w:leader="none" w:pos="13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420" w:firstLine="656"/>
        <w:spacing w:after="0" w:line="308" w:lineRule="auto"/>
        <w:tabs>
          <w:tab w:leader="none" w:pos="1368"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340" w:firstLine="656"/>
        <w:spacing w:after="0" w:line="277" w:lineRule="auto"/>
        <w:tabs>
          <w:tab w:leader="none" w:pos="1368"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70" w:lineRule="exact"/>
        <w:rPr>
          <w:rFonts w:ascii="Arial" w:cs="Arial" w:eastAsia="Arial" w:hAnsi="Arial"/>
          <w:sz w:val="18"/>
          <w:szCs w:val="18"/>
          <w:color w:val="auto"/>
        </w:rPr>
      </w:pPr>
    </w:p>
    <w:p>
      <w:pPr>
        <w:ind w:right="180" w:firstLine="1305"/>
        <w:spacing w:after="0" w:line="264" w:lineRule="auto"/>
        <w:tabs>
          <w:tab w:leader="none" w:pos="1976"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20" w:firstLine="1305"/>
        <w:spacing w:after="0" w:line="342" w:lineRule="auto"/>
        <w:tabs>
          <w:tab w:leader="none" w:pos="1986"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right="20" w:firstLine="1305"/>
        <w:spacing w:after="0" w:line="264" w:lineRule="auto"/>
        <w:tabs>
          <w:tab w:leader="none" w:pos="2021"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right="480" w:firstLine="656"/>
        <w:spacing w:after="0" w:line="342" w:lineRule="auto"/>
        <w:tabs>
          <w:tab w:leader="none" w:pos="136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right="260" w:firstLine="1305"/>
        <w:spacing w:after="0" w:line="308" w:lineRule="auto"/>
        <w:tabs>
          <w:tab w:leader="none" w:pos="1976" w:val="left"/>
        </w:tabs>
        <w:numPr>
          <w:ilvl w:val="1"/>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right="280" w:firstLine="1305"/>
        <w:spacing w:after="0" w:line="277" w:lineRule="auto"/>
        <w:tabs>
          <w:tab w:leader="none" w:pos="1986"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15,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Joseph Driscoll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Driscoll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 principal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ind w:left="10480"/>
        <w:spacing w:after="0"/>
        <w:rPr>
          <w:sz w:val="20"/>
          <w:szCs w:val="20"/>
          <w:color w:val="auto"/>
        </w:rPr>
      </w:pPr>
      <w:r>
        <w:rPr>
          <w:rFonts w:ascii="Arial" w:cs="Arial" w:eastAsia="Arial" w:hAnsi="Arial"/>
          <w:sz w:val="17"/>
          <w:szCs w:val="17"/>
          <w:b w:val="1"/>
          <w:bCs w:val="1"/>
          <w:color w:val="auto"/>
        </w:rPr>
        <w:t>Exhibit 32.1</w:t>
      </w: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CERTIFICATIONS UNDER SECTION 906</w:t>
      </w:r>
    </w:p>
    <w:p>
      <w:pPr>
        <w:spacing w:after="0" w:line="225"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Pursuant to section 906 of the Sarbanes-Oxley Act of 2002 (subsections (a) and (b) of section 1350, chapter 63 of title 18, United States Code), each of the undersigned officers of Quanterix Corporation, a Delaware corporation (the “Company”), does hereby certify, to such officer’s knowledge, that:</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Quarterly Report for the period ended March 31, 2018 (the “Form 10-Q”) of the Company fully complies with the requirements of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Section 13(a) or 15(d) of the Securities Exchange Act of 1934, and the information contained in the Form 10-Q fairly presents, in all material respects,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financial condition and results of operations of the Company.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ind w:left="660"/>
              <w:spacing w:after="0"/>
              <w:rPr>
                <w:sz w:val="20"/>
                <w:szCs w:val="20"/>
                <w:color w:val="auto"/>
              </w:rPr>
            </w:pPr>
            <w:r>
              <w:rPr>
                <w:rFonts w:ascii="Arial" w:cs="Arial" w:eastAsia="Arial" w:hAnsi="Arial"/>
                <w:sz w:val="18"/>
                <w:szCs w:val="18"/>
                <w:color w:val="auto"/>
              </w:rPr>
              <w:t>Dated: May 15, 2018</w:t>
            </w:r>
          </w:p>
        </w:tc>
        <w:tc>
          <w:tcPr>
            <w:tcW w:w="1800" w:type="dxa"/>
            <w:vAlign w:val="bottom"/>
          </w:tcPr>
          <w:p>
            <w:pPr>
              <w:spacing w:after="0"/>
              <w:rPr>
                <w:sz w:val="20"/>
                <w:szCs w:val="20"/>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 Kevin Hrusovsky</w:t>
            </w:r>
          </w:p>
        </w:tc>
        <w:tc>
          <w:tcPr>
            <w:tcW w:w="40" w:type="dxa"/>
            <w:vAlign w:val="bottom"/>
          </w:tcPr>
          <w:p>
            <w:pPr>
              <w:spacing w:after="0"/>
              <w:rPr>
                <w:sz w:val="20"/>
                <w:szCs w:val="20"/>
                <w:color w:val="auto"/>
              </w:rPr>
            </w:pPr>
          </w:p>
        </w:tc>
      </w:tr>
      <w:tr>
        <w:trPr>
          <w:trHeight w:val="195"/>
        </w:trPr>
        <w:tc>
          <w:tcPr>
            <w:tcW w:w="3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E. Kevin Hrusovsky</w:t>
            </w:r>
          </w:p>
        </w:tc>
        <w:tc>
          <w:tcPr>
            <w:tcW w:w="40" w:type="dxa"/>
            <w:vAlign w:val="bottom"/>
          </w:tcPr>
          <w:p>
            <w:pPr>
              <w:spacing w:after="0"/>
              <w:rPr>
                <w:sz w:val="16"/>
                <w:szCs w:val="16"/>
                <w:color w:val="auto"/>
              </w:rPr>
            </w:pPr>
          </w:p>
        </w:tc>
      </w:tr>
      <w:tr>
        <w:trPr>
          <w:trHeight w:val="230"/>
        </w:trPr>
        <w:tc>
          <w:tcPr>
            <w:tcW w:w="3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Chairman, President and Chief Executive Officer</w:t>
            </w:r>
          </w:p>
        </w:tc>
        <w:tc>
          <w:tcPr>
            <w:tcW w:w="40" w:type="dxa"/>
            <w:vAlign w:val="bottom"/>
          </w:tcPr>
          <w:p>
            <w:pPr>
              <w:spacing w:after="0"/>
              <w:rPr>
                <w:sz w:val="20"/>
                <w:szCs w:val="20"/>
                <w:color w:val="auto"/>
              </w:rPr>
            </w:pPr>
          </w:p>
        </w:tc>
      </w:tr>
      <w:tr>
        <w:trPr>
          <w:trHeight w:val="648"/>
        </w:trPr>
        <w:tc>
          <w:tcPr>
            <w:tcW w:w="3920" w:type="dxa"/>
            <w:vAlign w:val="bottom"/>
          </w:tcPr>
          <w:p>
            <w:pPr>
              <w:ind w:left="660"/>
              <w:spacing w:after="0"/>
              <w:rPr>
                <w:sz w:val="20"/>
                <w:szCs w:val="20"/>
                <w:color w:val="auto"/>
              </w:rPr>
            </w:pPr>
            <w:r>
              <w:rPr>
                <w:rFonts w:ascii="Arial" w:cs="Arial" w:eastAsia="Arial" w:hAnsi="Arial"/>
                <w:sz w:val="18"/>
                <w:szCs w:val="18"/>
                <w:color w:val="auto"/>
              </w:rPr>
              <w:t>Dated: May 15, 2018</w:t>
            </w:r>
          </w:p>
        </w:tc>
        <w:tc>
          <w:tcPr>
            <w:tcW w:w="1800" w:type="dxa"/>
            <w:vAlign w:val="bottom"/>
          </w:tcPr>
          <w:p>
            <w:pPr>
              <w:spacing w:after="0"/>
              <w:rPr>
                <w:sz w:val="24"/>
                <w:szCs w:val="24"/>
                <w:color w:val="auto"/>
              </w:rPr>
            </w:pPr>
          </w:p>
        </w:tc>
        <w:tc>
          <w:tcPr>
            <w:tcW w:w="5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Driscoll</w:t>
            </w:r>
          </w:p>
        </w:tc>
        <w:tc>
          <w:tcPr>
            <w:tcW w:w="40" w:type="dxa"/>
            <w:vAlign w:val="bottom"/>
          </w:tcPr>
          <w:p>
            <w:pPr>
              <w:spacing w:after="0"/>
              <w:rPr>
                <w:sz w:val="24"/>
                <w:szCs w:val="24"/>
                <w:color w:val="auto"/>
              </w:rPr>
            </w:pPr>
          </w:p>
        </w:tc>
      </w:tr>
      <w:tr>
        <w:trPr>
          <w:trHeight w:val="195"/>
        </w:trPr>
        <w:tc>
          <w:tcPr>
            <w:tcW w:w="39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5700" w:type="dxa"/>
            <w:vAlign w:val="bottom"/>
          </w:tcPr>
          <w:p>
            <w:pPr>
              <w:spacing w:after="0" w:line="195" w:lineRule="exact"/>
              <w:rPr>
                <w:sz w:val="20"/>
                <w:szCs w:val="20"/>
                <w:color w:val="auto"/>
              </w:rPr>
            </w:pPr>
            <w:r>
              <w:rPr>
                <w:rFonts w:ascii="Arial" w:cs="Arial" w:eastAsia="Arial" w:hAnsi="Arial"/>
                <w:sz w:val="18"/>
                <w:szCs w:val="18"/>
                <w:color w:val="auto"/>
              </w:rPr>
              <w:t>Joseph Driscoll</w:t>
            </w:r>
          </w:p>
        </w:tc>
        <w:tc>
          <w:tcPr>
            <w:tcW w:w="40" w:type="dxa"/>
            <w:vAlign w:val="bottom"/>
          </w:tcPr>
          <w:p>
            <w:pPr>
              <w:spacing w:after="0"/>
              <w:rPr>
                <w:sz w:val="16"/>
                <w:szCs w:val="16"/>
                <w:color w:val="auto"/>
              </w:rPr>
            </w:pPr>
          </w:p>
        </w:tc>
      </w:tr>
      <w:tr>
        <w:trPr>
          <w:trHeight w:val="230"/>
        </w:trPr>
        <w:tc>
          <w:tcPr>
            <w:tcW w:w="39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20"/>
                <w:szCs w:val="20"/>
                <w:color w:val="auto"/>
              </w:rPr>
            </w:pPr>
          </w:p>
        </w:tc>
      </w:tr>
      <w:tr>
        <w:trPr>
          <w:trHeight w:val="432"/>
        </w:trPr>
        <w:tc>
          <w:tcPr>
            <w:tcW w:w="3920" w:type="dxa"/>
            <w:vAlign w:val="bottom"/>
          </w:tcPr>
          <w:p>
            <w:pPr>
              <w:spacing w:after="0"/>
              <w:rPr>
                <w:sz w:val="24"/>
                <w:szCs w:val="24"/>
                <w:color w:val="auto"/>
              </w:rPr>
            </w:pPr>
          </w:p>
        </w:tc>
        <w:tc>
          <w:tcPr>
            <w:tcW w:w="7500" w:type="dxa"/>
            <w:vAlign w:val="bottom"/>
            <w:gridSpan w:val="2"/>
          </w:tcPr>
          <w:p>
            <w:pPr>
              <w:jc w:val="right"/>
              <w:ind w:right="557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4"/>
                <w:szCs w:val="24"/>
                <w:color w:val="auto"/>
              </w:rPr>
            </w:pPr>
          </w:p>
        </w:tc>
      </w:tr>
      <w:tr>
        <w:trPr>
          <w:trHeight w:val="132"/>
        </w:trPr>
        <w:tc>
          <w:tcPr>
            <w:tcW w:w="3920" w:type="dxa"/>
            <w:vAlign w:val="bottom"/>
            <w:tcBorders>
              <w:bottom w:val="single" w:sz="8" w:color="808080"/>
            </w:tcBorders>
          </w:tcPr>
          <w:p>
            <w:pPr>
              <w:spacing w:after="0"/>
              <w:rPr>
                <w:sz w:val="11"/>
                <w:szCs w:val="11"/>
                <w:color w:val="auto"/>
              </w:rPr>
            </w:pPr>
          </w:p>
        </w:tc>
        <w:tc>
          <w:tcPr>
            <w:tcW w:w="1800" w:type="dxa"/>
            <w:vAlign w:val="bottom"/>
            <w:tcBorders>
              <w:bottom w:val="single" w:sz="8" w:color="808080"/>
            </w:tcBorders>
          </w:tcPr>
          <w:p>
            <w:pPr>
              <w:spacing w:after="0"/>
              <w:rPr>
                <w:sz w:val="11"/>
                <w:szCs w:val="11"/>
                <w:color w:val="auto"/>
              </w:rPr>
            </w:pPr>
          </w:p>
        </w:tc>
        <w:tc>
          <w:tcPr>
            <w:tcW w:w="57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1"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x"/>
      <w:numFmt w:val="bullet"/>
      <w:start w:val="1"/>
    </w:lvl>
  </w:abstractNum>
  <w:abstractNum w:abstractNumId="1">
    <w:nsid w:val="5BD062C2"/>
    <w:multiLevelType w:val="hybridMultilevel"/>
    <w:lvl w:ilvl="0">
      <w:lvlJc w:val="left"/>
      <w:lvlText w:val="o"/>
      <w:numFmt w:val="bullet"/>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lowerRoman"/>
      <w:start w:val="1"/>
    </w:lvl>
  </w:abstractNum>
  <w:abstractNum w:abstractNumId="4">
    <w:nsid w:val="216231B"/>
    <w:multiLevelType w:val="hybridMultilevel"/>
    <w:lvl w:ilvl="0">
      <w:lvlJc w:val="left"/>
      <w:lvlText w:val="%1."/>
      <w:numFmt w:val="decimal"/>
      <w:start w:val="10"/>
    </w:lvl>
  </w:abstractNum>
  <w:abstractNum w:abstractNumId="5">
    <w:nsid w:val="1F16E9E8"/>
    <w:multiLevelType w:val="hybridMultilevel"/>
    <w:lvl w:ilvl="0">
      <w:lvlJc w:val="left"/>
      <w:lvlText w:val="%1."/>
      <w:numFmt w:val="decimal"/>
      <w:start w:val="10"/>
    </w:lvl>
  </w:abstractNum>
  <w:abstractNum w:abstractNumId="6">
    <w:nsid w:val="1190CDE7"/>
    <w:multiLevelType w:val="hybridMultilevel"/>
    <w:lvl w:ilvl="0">
      <w:lvlJc w:val="left"/>
      <w:lvlText w:val="%1."/>
      <w:numFmt w:val="decimal"/>
      <w:start w:val="10"/>
    </w:lvl>
  </w:abstractNum>
  <w:abstractNum w:abstractNumId="7">
    <w:nsid w:val="66EF438D"/>
    <w:multiLevelType w:val="hybridMultilevel"/>
    <w:lvl w:ilvl="0">
      <w:lvlJc w:val="left"/>
      <w:lvlText w:val="%1."/>
      <w:numFmt w:val="decimal"/>
      <w:start w:val="11"/>
    </w:lvl>
  </w:abstractNum>
  <w:abstractNum w:abstractNumId="8">
    <w:nsid w:val="140E0F76"/>
    <w:multiLevelType w:val="hybridMultilevel"/>
    <w:lvl w:ilvl="0">
      <w:lvlJc w:val="left"/>
      <w:lvlText w:val="%1."/>
      <w:numFmt w:val="decimal"/>
      <w:start w:val="11"/>
    </w:lvl>
  </w:abstractNum>
  <w:abstractNum w:abstractNumId="9">
    <w:nsid w:val="3352255A"/>
    <w:multiLevelType w:val="hybridMultilevel"/>
    <w:lvl w:ilvl="0">
      <w:lvlJc w:val="left"/>
      <w:lvlText w:val="%1."/>
      <w:numFmt w:val="decimal"/>
      <w:start w:val="15"/>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
      <w:numFmt w:val="bullet"/>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jpeg"/><Relationship Id="rId62" Type="http://schemas.openxmlformats.org/officeDocument/2006/relationships/image" Target="media/image51.png"/><Relationship Id="rId63" Type="http://schemas.openxmlformats.org/officeDocument/2006/relationships/image" Target="media/image52.jpe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72" Type="http://schemas.openxmlformats.org/officeDocument/2006/relationships/image" Target="media/image61.png"/><Relationship Id="rId73" Type="http://schemas.openxmlformats.org/officeDocument/2006/relationships/image" Target="media/image62.png"/><Relationship Id="rId54" Type="http://schemas.openxmlformats.org/officeDocument/2006/relationships/hyperlink" Target="http://www.sec.gov/Archives/edgar/data/1503274/000104746918001842/a2234843zex-4_9.htm" TargetMode="External"/><Relationship Id="rId55" Type="http://schemas.openxmlformats.org/officeDocument/2006/relationships/hyperlink" Target="http://www.sec.gov/Archives/edgar/data/1503274/000104746918001842/a2234843zex-10_201.htm" TargetMode="External"/><Relationship Id="rId56" Type="http://schemas.openxmlformats.org/officeDocument/2006/relationships/hyperlink" Target="http://www.sec.gov/Archives/edgar/data/1503274/000104746918001842/a2234843zex-10_202.htm" TargetMode="External"/><Relationship Id="rId57" Type="http://schemas.openxmlformats.org/officeDocument/2006/relationships/hyperlink" Target="http://www.sec.gov/Archives/edgar/data/1503274/000104746918001842/a2234843zex-10_2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2019-12-28T21:49:46Z</dcterms:created>
  <dcterms:modified xsi:type="dcterms:W3CDTF">2019-12-28T21:49:46Z</dcterms:modified>
</cp:coreProperties>
</file>