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(Mark One)</w:t>
      </w:r>
    </w:p>
    <w:tbl>
      <w:tblPr>
        <w:tblW w:w="9026" w:type="dxa"/>
        <w:jc w:val="left"/>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Wingdings;sans-serif" w:hAnsi="Wingdings;sans-serif"/>
                <w:b/>
                <w:color w:val="000000"/>
                <w:sz w:val="16"/>
              </w:rPr>
            </w:pPr>
            <w:r>
              <w:rPr>
                <w:rFonts w:ascii="Wingdings;sans-serif" w:hAnsi="Wingdings;sans-serif"/>
                <w:b/>
                <w:color w:val="000000"/>
                <w:sz w:val="16"/>
              </w:rPr>
              <w:t>x</w:t>
            </w:r>
          </w:p>
        </w:tc>
        <w:tc>
          <w:tcPr>
            <w:tcW w:w="868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For the quarterly period ended June 30, 2026</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color w:val="000000"/>
                <w:sz w:val="16"/>
              </w:rPr>
            </w:pPr>
            <w:r>
              <w:rPr>
                <w:rFonts w:ascii="Wingdings;sans-serif" w:hAnsi="Wingdings;sans-serif"/>
                <w:b/>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For the transition period from          to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Number: 001-38319</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QUANTERIX CORPORATION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w:t>
      </w:r>
    </w:p>
    <w:tbl>
      <w:tblPr>
        <w:tblW w:w="6823" w:type="dxa"/>
        <w:jc w:val="center"/>
        <w:tblInd w:w="0" w:type="dxa"/>
        <w:tblLayout w:type="fixed"/>
        <w:tblCellMar>
          <w:top w:w="28" w:type="dxa"/>
          <w:left w:w="28" w:type="dxa"/>
          <w:bottom w:w="28" w:type="dxa"/>
          <w:right w:w="28" w:type="dxa"/>
        </w:tblCellMar>
      </w:tblPr>
      <w:tblGrid>
        <w:gridCol w:w="1553"/>
        <w:gridCol w:w="1364"/>
        <w:gridCol w:w="1372"/>
        <w:gridCol w:w="738"/>
        <w:gridCol w:w="738"/>
        <w:gridCol w:w="1058"/>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25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20-8957988</w:t>
            </w:r>
          </w:p>
        </w:tc>
      </w:tr>
      <w:tr>
        <w:trPr/>
        <w:tc>
          <w:tcPr>
            <w:tcW w:w="42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25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900 Middlesex Turnpike</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Billerica, MA</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01821</w:t>
            </w:r>
          </w:p>
        </w:tc>
      </w:tr>
      <w:tr>
        <w:trPr/>
        <w:tc>
          <w:tcPr>
            <w:tcW w:w="42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25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(617) 301-9400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Exchange Act:</w:t>
      </w:r>
    </w:p>
    <w:tbl>
      <w:tblPr>
        <w:tblW w:w="8693" w:type="dxa"/>
        <w:jc w:val="left"/>
        <w:tblInd w:w="0" w:type="dxa"/>
        <w:tblLayout w:type="fixed"/>
        <w:tblCellMar>
          <w:top w:w="28" w:type="dxa"/>
          <w:left w:w="28" w:type="dxa"/>
          <w:bottom w:w="28" w:type="dxa"/>
          <w:right w:w="28" w:type="dxa"/>
        </w:tblCellMar>
      </w:tblPr>
      <w:tblGrid>
        <w:gridCol w:w="1139"/>
        <w:gridCol w:w="998"/>
        <w:gridCol w:w="1013"/>
        <w:gridCol w:w="109"/>
        <w:gridCol w:w="109"/>
        <w:gridCol w:w="109"/>
        <w:gridCol w:w="504"/>
        <w:gridCol w:w="504"/>
        <w:gridCol w:w="506"/>
        <w:gridCol w:w="109"/>
        <w:gridCol w:w="109"/>
        <w:gridCol w:w="109"/>
        <w:gridCol w:w="988"/>
        <w:gridCol w:w="988"/>
        <w:gridCol w:w="1399"/>
      </w:tblGrid>
      <w:tr>
        <w:trPr/>
        <w:tc>
          <w:tcPr>
            <w:tcW w:w="113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QTRX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Market</w:t>
            </w:r>
          </w:p>
        </w:tc>
      </w:tr>
    </w:tbl>
    <w:p>
      <w:pPr>
        <w:pStyle w:val="TextBody"/>
        <w:bidi w:val="0"/>
        <w:spacing w:lineRule="auto" w:line="288" w:before="0" w:after="12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No  </w:t>
      </w:r>
      <w:r>
        <w:rPr>
          <w:rFonts w:ascii="Wingdings;sans-serif" w:hAnsi="Wingdings;sans-serif"/>
          <w:b w:val="false"/>
          <w:color w:val="000000"/>
          <w:sz w:val="16"/>
        </w:rPr>
        <w:t>o</w:t>
      </w:r>
    </w:p>
    <w:p>
      <w:pPr>
        <w:pStyle w:val="TextBody"/>
        <w:bidi w:val="0"/>
        <w:spacing w:lineRule="auto" w:line="288" w:before="0" w:after="120"/>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No  </w:t>
      </w:r>
      <w:r>
        <w:rPr>
          <w:rFonts w:ascii="Wingdings;sans-serif" w:hAnsi="Wingdings;sans-serif"/>
          <w:b w:val="false"/>
          <w:color w:val="000000"/>
          <w:sz w:val="16"/>
        </w:rPr>
        <w:t>o</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6"/>
              </w:rPr>
            </w:pPr>
            <w:r>
              <w:rPr>
                <w:rFonts w:ascii="Wingdings;sans-serif" w:hAnsi="Wingdings;sans-serif"/>
                <w:b w:val="false"/>
                <w:color w:val="000000"/>
                <w:sz w:val="16"/>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120"/>
        <w:jc w:val="left"/>
        <w:rPr/>
      </w:pPr>
      <w:r>
        <w:rPr>
          <w:rFonts w:ascii="Times New Roman;serif" w:hAnsi="Times New Roman;serif"/>
          <w:b w:val="false"/>
          <w:color w:val="000000"/>
          <w:sz w:val="16"/>
        </w:rPr>
        <w:t xml:space="preserve">Indicate by check mark whether the registrant is a shell company (as defined in Rule 12b-2 of the Exchange Act).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No</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As of August 3, 2026, the registrant had 47,293,065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QUANTERIX CORPORATION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INDEX TO FORM 10-Q</w:t>
      </w:r>
    </w:p>
    <w:tbl>
      <w:tblPr>
        <w:tblW w:w="9136" w:type="dxa"/>
        <w:jc w:val="left"/>
        <w:tblInd w:w="0" w:type="dxa"/>
        <w:tblLayout w:type="fixed"/>
        <w:tblCellMar>
          <w:top w:w="28" w:type="dxa"/>
          <w:left w:w="28" w:type="dxa"/>
          <w:bottom w:w="28" w:type="dxa"/>
          <w:right w:w="28" w:type="dxa"/>
        </w:tblCellMar>
      </w:tblPr>
      <w:tblGrid>
        <w:gridCol w:w="3125"/>
        <w:gridCol w:w="2745"/>
        <w:gridCol w:w="2755"/>
        <w:gridCol w:w="149"/>
        <w:gridCol w:w="149"/>
        <w:gridCol w:w="213"/>
      </w:tblGrid>
      <w:tr>
        <w:trPr/>
        <w:tc>
          <w:tcPr>
            <w:tcW w:w="3125"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7c7b749a5d426284b51b8bc8bcd6d9_10">
              <w:r>
                <w:rPr>
                  <w:rStyle w:val="InternetLink"/>
                  <w:rFonts w:ascii="Times New Roman;serif" w:hAnsi="Times New Roman;serif"/>
                  <w:b w:val="false"/>
                  <w:color w:val="0000FF"/>
                  <w:sz w:val="20"/>
                  <w:u w:val="single"/>
                </w:rPr>
                <w:t>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7c7b749a5d426284b51b8bc8bcd6d9_10">
              <w:r>
                <w:rPr>
                  <w:rStyle w:val="InternetLink"/>
                  <w:rFonts w:ascii="Times New Roman;serif" w:hAnsi="Times New Roman;serif"/>
                  <w:b w:val="false"/>
                  <w:strike w:val="false"/>
                  <w:dstrike w:val="false"/>
                  <w:color w:val="000000"/>
                  <w:sz w:val="20"/>
                  <w:u w:val="none"/>
                  <w:effect w:val="none"/>
                </w:rPr>
                <w:t>3</w:t>
              </w:r>
            </w:hyperlink>
          </w:p>
        </w:tc>
      </w:tr>
      <w:tr>
        <w:trPr/>
        <w:tc>
          <w:tcPr>
            <w:tcW w:w="8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7c7b749a5d426284b51b8bc8bcd6d9_13">
              <w:r>
                <w:rPr>
                  <w:rStyle w:val="InternetLink"/>
                  <w:rFonts w:ascii="Times New Roman;serif" w:hAnsi="Times New Roman;serif"/>
                  <w:b/>
                  <w:color w:val="0000FF"/>
                  <w:sz w:val="20"/>
                  <w:u w:val="single"/>
                </w:rPr>
                <w:t>PART I — FINANCIAL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7c7b749a5d426284b51b8bc8bcd6d9_16">
              <w:r>
                <w:rPr>
                  <w:rStyle w:val="InternetLink"/>
                  <w:rFonts w:ascii="Times New Roman;serif" w:hAnsi="Times New Roman;serif"/>
                  <w:b w:val="false"/>
                  <w:color w:val="0000FF"/>
                  <w:sz w:val="20"/>
                  <w:u w:val="single"/>
                </w:rPr>
                <w:t>Item 1.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a7c7b749a5d426284b51b8bc8bcd6d9_16">
              <w:r>
                <w:rPr>
                  <w:rStyle w:val="InternetLink"/>
                  <w:rFonts w:ascii="Times New Roman;serif" w:hAnsi="Times New Roman;serif"/>
                  <w:b w:val="false"/>
                  <w:strike w:val="false"/>
                  <w:dstrike w:val="false"/>
                  <w:color w:val="000000"/>
                  <w:sz w:val="20"/>
                  <w:u w:val="none"/>
                  <w:effect w:val="none"/>
                </w:rPr>
                <w:t>4</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7c7b749a5d426284b51b8bc8bcd6d9_19">
              <w:r>
                <w:rPr>
                  <w:rStyle w:val="InternetLink"/>
                  <w:rFonts w:ascii="Times New Roman;serif" w:hAnsi="Times New Roman;serif"/>
                  <w:b w:val="false"/>
                  <w:color w:val="0000FF"/>
                  <w:sz w:val="20"/>
                  <w:u w:val="singl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a7c7b749a5d426284b51b8bc8bcd6d9_19">
              <w:r>
                <w:rPr>
                  <w:rStyle w:val="InternetLink"/>
                  <w:rFonts w:ascii="Times New Roman;serif" w:hAnsi="Times New Roman;serif"/>
                  <w:b w:val="false"/>
                  <w:strike w:val="false"/>
                  <w:dstrike w:val="false"/>
                  <w:color w:val="000000"/>
                  <w:sz w:val="20"/>
                  <w:u w:val="none"/>
                  <w:effect w:val="none"/>
                </w:rPr>
                <w:t>4</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7c7b749a5d426284b51b8bc8bcd6d9_22">
              <w:r>
                <w:rPr>
                  <w:rStyle w:val="InternetLink"/>
                  <w:rFonts w:ascii="Times New Roman;serif" w:hAnsi="Times New Roman;serif"/>
                  <w:b w:val="false"/>
                  <w:color w:val="0000FF"/>
                  <w:sz w:val="20"/>
                  <w:u w:val="single"/>
                </w:rPr>
                <w:t>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a7c7b749a5d426284b51b8bc8bcd6d9_22">
              <w:r>
                <w:rPr>
                  <w:rStyle w:val="InternetLink"/>
                  <w:rFonts w:ascii="Times New Roman;serif" w:hAnsi="Times New Roman;serif"/>
                  <w:b w:val="false"/>
                  <w:strike w:val="false"/>
                  <w:dstrike w:val="false"/>
                  <w:color w:val="000000"/>
                  <w:sz w:val="20"/>
                  <w:u w:val="none"/>
                  <w:effect w:val="none"/>
                </w:rPr>
                <w:t>5</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7c7b749a5d426284b51b8bc8bcd6d9_25">
              <w:r>
                <w:rPr>
                  <w:rStyle w:val="InternetLink"/>
                  <w:rFonts w:ascii="Times New Roman;serif" w:hAnsi="Times New Roman;serif"/>
                  <w:b w:val="false"/>
                  <w:color w:val="0000FF"/>
                  <w:sz w:val="20"/>
                  <w:u w:val="single"/>
                </w:rPr>
                <w:t>Consolidated Statements of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a7c7b749a5d426284b51b8bc8bcd6d9_25">
              <w:r>
                <w:rPr>
                  <w:rStyle w:val="InternetLink"/>
                  <w:rFonts w:ascii="Times New Roman;serif" w:hAnsi="Times New Roman;serif"/>
                  <w:b w:val="false"/>
                  <w:strike w:val="false"/>
                  <w:dstrike w:val="false"/>
                  <w:color w:val="000000"/>
                  <w:sz w:val="20"/>
                  <w:u w:val="none"/>
                  <w:effect w:val="none"/>
                </w:rPr>
                <w:t>6</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7c7b749a5d426284b51b8bc8bcd6d9_28">
              <w:r>
                <w:rPr>
                  <w:rStyle w:val="InternetLink"/>
                  <w:rFonts w:ascii="Times New Roman;serif" w:hAnsi="Times New Roman;serif"/>
                  <w:b w:val="false"/>
                  <w:color w:val="0000FF"/>
                  <w:sz w:val="20"/>
                  <w:u w:val="singl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a7c7b749a5d426284b51b8bc8bcd6d9_28">
              <w:r>
                <w:rPr>
                  <w:rStyle w:val="InternetLink"/>
                  <w:rFonts w:ascii="Times New Roman;serif" w:hAnsi="Times New Roman;serif"/>
                  <w:b w:val="false"/>
                  <w:strike w:val="false"/>
                  <w:dstrike w:val="false"/>
                  <w:color w:val="000000"/>
                  <w:sz w:val="20"/>
                  <w:u w:val="none"/>
                  <w:effect w:val="none"/>
                </w:rPr>
                <w:t>7</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7c7b749a5d426284b51b8bc8bcd6d9_31">
              <w:r>
                <w:rPr>
                  <w:rStyle w:val="InternetLink"/>
                  <w:rFonts w:ascii="Times New Roman;serif" w:hAnsi="Times New Roman;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a7c7b749a5d426284b51b8bc8bcd6d9_31">
              <w:r>
                <w:rPr>
                  <w:rStyle w:val="InternetLink"/>
                  <w:rFonts w:ascii="Times New Roman;serif" w:hAnsi="Times New Roman;serif"/>
                  <w:b w:val="false"/>
                  <w:strike w:val="false"/>
                  <w:dstrike w:val="false"/>
                  <w:color w:val="000000"/>
                  <w:sz w:val="20"/>
                  <w:u w:val="none"/>
                  <w:effect w:val="none"/>
                </w:rPr>
                <w:t>8</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7c7b749a5d426284b51b8bc8bcd6d9_91">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a7c7b749a5d426284b51b8bc8bcd6d9_91">
              <w:r>
                <w:rPr>
                  <w:rStyle w:val="InternetLink"/>
                  <w:rFonts w:ascii="Times New Roman;serif" w:hAnsi="Times New Roman;serif"/>
                  <w:b w:val="false"/>
                  <w:strike w:val="false"/>
                  <w:dstrike w:val="false"/>
                  <w:color w:val="000000"/>
                  <w:sz w:val="20"/>
                  <w:u w:val="none"/>
                  <w:effect w:val="none"/>
                </w:rPr>
                <w:t>31</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7c7b749a5d426284b51b8bc8bcd6d9_115">
              <w:r>
                <w:rPr>
                  <w:rStyle w:val="InternetLink"/>
                  <w:rFonts w:ascii="Times New Roman;serif" w:hAnsi="Times New Roman;serif"/>
                  <w:b w:val="false"/>
                  <w:color w:val="0000FF"/>
                  <w:sz w:val="20"/>
                  <w:u w:val="single"/>
                </w:rPr>
                <w:t>Item 3. 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a7c7b749a5d426284b51b8bc8bcd6d9_115">
              <w:r>
                <w:rPr>
                  <w:rStyle w:val="InternetLink"/>
                  <w:rFonts w:ascii="Times New Roman;serif" w:hAnsi="Times New Roman;serif"/>
                  <w:b w:val="false"/>
                  <w:strike w:val="false"/>
                  <w:dstrike w:val="false"/>
                  <w:color w:val="000000"/>
                  <w:sz w:val="20"/>
                  <w:u w:val="none"/>
                  <w:effect w:val="none"/>
                </w:rPr>
                <w:t>41</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7c7b749a5d426284b51b8bc8bcd6d9_118">
              <w:r>
                <w:rPr>
                  <w:rStyle w:val="InternetLink"/>
                  <w:rFonts w:ascii="Times New Roman;serif" w:hAnsi="Times New Roman;serif"/>
                  <w:b w:val="false"/>
                  <w:color w:val="0000FF"/>
                  <w:sz w:val="20"/>
                  <w:u w:val="single"/>
                </w:rPr>
                <w:t>Item 4. 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a7c7b749a5d426284b51b8bc8bcd6d9_118">
              <w:r>
                <w:rPr>
                  <w:rStyle w:val="InternetLink"/>
                  <w:rFonts w:ascii="Times New Roman;serif" w:hAnsi="Times New Roman;serif"/>
                  <w:b w:val="false"/>
                  <w:strike w:val="false"/>
                  <w:dstrike w:val="false"/>
                  <w:color w:val="000000"/>
                  <w:sz w:val="20"/>
                  <w:u w:val="none"/>
                  <w:effect w:val="none"/>
                </w:rPr>
                <w:t>41</w:t>
              </w:r>
            </w:hyperlink>
          </w:p>
        </w:tc>
      </w:tr>
      <w:tr>
        <w:trPr/>
        <w:tc>
          <w:tcPr>
            <w:tcW w:w="8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7c7b749a5d426284b51b8bc8bcd6d9_121">
              <w:r>
                <w:rPr>
                  <w:rStyle w:val="InternetLink"/>
                  <w:rFonts w:ascii="Times New Roman;serif" w:hAnsi="Times New Roman;serif"/>
                  <w:b/>
                  <w:color w:val="0000FF"/>
                  <w:sz w:val="20"/>
                  <w:u w:val="single"/>
                </w:rPr>
                <w:t>PART II —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7c7b749a5d426284b51b8bc8bcd6d9_124">
              <w:r>
                <w:rPr>
                  <w:rStyle w:val="InternetLink"/>
                  <w:rFonts w:ascii="Times New Roman;serif" w:hAnsi="Times New Roman;serif"/>
                  <w:b w:val="false"/>
                  <w:color w:val="0000FF"/>
                  <w:sz w:val="20"/>
                  <w:u w:val="single"/>
                </w:rPr>
                <w:t>Item 1. 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a7c7b749a5d426284b51b8bc8bcd6d9_124">
              <w:r>
                <w:rPr>
                  <w:rStyle w:val="InternetLink"/>
                  <w:rFonts w:ascii="Times New Roman;serif" w:hAnsi="Times New Roman;serif"/>
                  <w:b w:val="false"/>
                  <w:strike w:val="false"/>
                  <w:dstrike w:val="false"/>
                  <w:color w:val="000000"/>
                  <w:sz w:val="20"/>
                  <w:u w:val="none"/>
                  <w:effect w:val="none"/>
                </w:rPr>
                <w:t>42</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7c7b749a5d426284b51b8bc8bcd6d9_127">
              <w:r>
                <w:rPr>
                  <w:rStyle w:val="InternetLink"/>
                  <w:rFonts w:ascii="Times New Roman;serif" w:hAnsi="Times New Roman;serif"/>
                  <w:b w:val="false"/>
                  <w:color w:val="0000FF"/>
                  <w:sz w:val="20"/>
                  <w:u w:val="single"/>
                </w:rPr>
                <w:t>Item 1A. 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a7c7b749a5d426284b51b8bc8bcd6d9_127">
              <w:r>
                <w:rPr>
                  <w:rStyle w:val="InternetLink"/>
                  <w:rFonts w:ascii="Times New Roman;serif" w:hAnsi="Times New Roman;serif"/>
                  <w:b w:val="false"/>
                  <w:strike w:val="false"/>
                  <w:dstrike w:val="false"/>
                  <w:color w:val="000000"/>
                  <w:sz w:val="20"/>
                  <w:u w:val="none"/>
                  <w:effect w:val="none"/>
                </w:rPr>
                <w:t>42</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7c7b749a5d426284b51b8bc8bcd6d9_130">
              <w:r>
                <w:rPr>
                  <w:rStyle w:val="InternetLink"/>
                  <w:rFonts w:ascii="Times New Roman;serif" w:hAnsi="Times New Roman;serif"/>
                  <w:b w:val="false"/>
                  <w:color w:val="0000FF"/>
                  <w:sz w:val="20"/>
                  <w:u w:val="single"/>
                </w:rPr>
                <w:t>Item 2. Unregistered Sales of Equity Securities, Use of Proceeds, and Issuer Purchases of Equity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a7c7b749a5d426284b51b8bc8bcd6d9_130">
              <w:r>
                <w:rPr>
                  <w:rStyle w:val="InternetLink"/>
                  <w:rFonts w:ascii="Times New Roman;serif" w:hAnsi="Times New Roman;serif"/>
                  <w:b w:val="false"/>
                  <w:strike w:val="false"/>
                  <w:dstrike w:val="false"/>
                  <w:color w:val="000000"/>
                  <w:sz w:val="20"/>
                  <w:u w:val="none"/>
                  <w:effect w:val="none"/>
                </w:rPr>
                <w:t>42</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7c7b749a5d426284b51b8bc8bcd6d9_133">
              <w:r>
                <w:rPr>
                  <w:rStyle w:val="InternetLink"/>
                  <w:rFonts w:ascii="Times New Roman;serif" w:hAnsi="Times New Roman;serif"/>
                  <w:b w:val="false"/>
                  <w:color w:val="0000FF"/>
                  <w:sz w:val="20"/>
                  <w:u w:val="single"/>
                </w:rPr>
                <w:t>Item 3. 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a7c7b749a5d426284b51b8bc8bcd6d9_133">
              <w:r>
                <w:rPr>
                  <w:rStyle w:val="InternetLink"/>
                  <w:rFonts w:ascii="Times New Roman;serif" w:hAnsi="Times New Roman;serif"/>
                  <w:b w:val="false"/>
                  <w:strike w:val="false"/>
                  <w:dstrike w:val="false"/>
                  <w:color w:val="000000"/>
                  <w:sz w:val="20"/>
                  <w:u w:val="none"/>
                  <w:effect w:val="none"/>
                </w:rPr>
                <w:t>42</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7c7b749a5d426284b51b8bc8bcd6d9_136">
              <w:r>
                <w:rPr>
                  <w:rStyle w:val="InternetLink"/>
                  <w:rFonts w:ascii="Times New Roman;serif" w:hAnsi="Times New Roman;serif"/>
                  <w:b w:val="false"/>
                  <w:color w:val="0000FF"/>
                  <w:sz w:val="20"/>
                  <w:u w:val="single"/>
                </w:rPr>
                <w:t>Item 4. 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a7c7b749a5d426284b51b8bc8bcd6d9_136">
              <w:r>
                <w:rPr>
                  <w:rStyle w:val="InternetLink"/>
                  <w:rFonts w:ascii="Times New Roman;serif" w:hAnsi="Times New Roman;serif"/>
                  <w:b w:val="false"/>
                  <w:strike w:val="false"/>
                  <w:dstrike w:val="false"/>
                  <w:color w:val="000000"/>
                  <w:sz w:val="20"/>
                  <w:u w:val="none"/>
                  <w:effect w:val="none"/>
                </w:rPr>
                <w:t>42</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7c7b749a5d426284b51b8bc8bcd6d9_139">
              <w:r>
                <w:rPr>
                  <w:rStyle w:val="InternetLink"/>
                  <w:rFonts w:ascii="Times New Roman;serif" w:hAnsi="Times New Roman;serif"/>
                  <w:b w:val="false"/>
                  <w:color w:val="0000FF"/>
                  <w:sz w:val="20"/>
                  <w:u w:val="single"/>
                </w:rPr>
                <w:t>Item 5.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a7c7b749a5d426284b51b8bc8bcd6d9_139">
              <w:r>
                <w:rPr>
                  <w:rStyle w:val="InternetLink"/>
                  <w:rFonts w:ascii="Times New Roman;serif" w:hAnsi="Times New Roman;serif"/>
                  <w:b w:val="false"/>
                  <w:strike w:val="false"/>
                  <w:dstrike w:val="false"/>
                  <w:color w:val="000000"/>
                  <w:sz w:val="20"/>
                  <w:u w:val="none"/>
                  <w:effect w:val="none"/>
                </w:rPr>
                <w:t>42</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7c7b749a5d426284b51b8bc8bcd6d9_142">
              <w:r>
                <w:rPr>
                  <w:rStyle w:val="InternetLink"/>
                  <w:rFonts w:ascii="Times New Roman;serif" w:hAnsi="Times New Roman;serif"/>
                  <w:b w:val="false"/>
                  <w:color w:val="0000FF"/>
                  <w:sz w:val="20"/>
                  <w:u w:val="single"/>
                </w:rPr>
                <w:t>Item 6. 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a7c7b749a5d426284b51b8bc8bcd6d9_142">
              <w:r>
                <w:rPr>
                  <w:rStyle w:val="InternetLink"/>
                  <w:rFonts w:ascii="Times New Roman;serif" w:hAnsi="Times New Roman;serif"/>
                  <w:b w:val="false"/>
                  <w:strike w:val="false"/>
                  <w:dstrike w:val="false"/>
                  <w:color w:val="000000"/>
                  <w:sz w:val="20"/>
                  <w:u w:val="none"/>
                  <w:effect w:val="none"/>
                </w:rPr>
                <w:t>43</w:t>
              </w:r>
            </w:hyperlink>
          </w:p>
        </w:tc>
      </w:tr>
      <w:tr>
        <w:trPr/>
        <w:tc>
          <w:tcPr>
            <w:tcW w:w="8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7c7b749a5d426284b51b8bc8bcd6d9_145">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a7c7b749a5d426284b51b8bc8bcd6d9_145">
              <w:r>
                <w:rPr>
                  <w:rStyle w:val="InternetLink"/>
                  <w:rFonts w:ascii="Times New Roman;serif" w:hAnsi="Times New Roman;serif"/>
                  <w:b w:val="false"/>
                  <w:strike w:val="false"/>
                  <w:dstrike w:val="false"/>
                  <w:color w:val="000000"/>
                  <w:sz w:val="20"/>
                  <w:u w:val="none"/>
                  <w:effect w:val="non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the terms “Quanterix,” the “Company,” “we,” “it,” “us,” and “our” in this Quarterly Report on Form 10-Q refer to Quanterix Corporation and its consolidated subsidiaries.</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U.S. Private Securities Litigation Reform Act of 1995) that involve risks and uncertainties. All statements other than statements of historical facts contained in this Quarterly Report on Form 10-Q are forward-looking statements. In some cases, forward-looking statements can be identified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related to our financial performance and statements related to our expectations about the development and commercialization of our products and are subject to a number of risks, uncertainties, and assumptions, including those further described in the section titled “Part II, Item 1A. Risk Factors” of this Quarterly Report on Form 10-Q and in the section titled “Part I, Item 1A. Risk Factors” of our Annual Report on Form 10-K for the year ended December 31, 2025, as filed with the U.S Securities and Exchange Commission (the “SEC”) on March 2, 2026, or in other filings that we make with the SEC. Moreover, we operate in a very competitive and rapidly changing environment and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Readers should not rely upon forward-looking statements as predictions of future events. Although we believe that the expectations reflected in any forward-looking statements are reasonable, we cannot guarantee that the future results, levels of activity, performance, or events and circumstances reflected in forward-looking statements will be achieved or occur.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Readers should read this Quarterly Report on Form 10-Q, and any documents referenced herein that we have filed with the SEC as exhibits to this Quarterly Report on Form 10-Q, with the understanding that our actual future results, levels of activity, performance, and events and circumstances may be materially different from what we expect.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Service Marks, Trademarks, and Trade Names</w:t>
      </w:r>
    </w:p>
    <w:p>
      <w:pPr>
        <w:pStyle w:val="TextBody"/>
        <w:bidi w:val="0"/>
        <w:spacing w:lineRule="auto" w:line="288" w:before="0" w:after="240"/>
        <w:ind w:left="0" w:right="0" w:firstLine="720"/>
        <w:jc w:val="left"/>
        <w:rPr>
          <w:color w:val="000000"/>
        </w:rPr>
      </w:pPr>
      <w:r>
        <w:rPr>
          <w:color w:val="000000"/>
        </w:rPr>
        <w:t>“</w:t>
      </w:r>
      <w:r>
        <w:rPr>
          <w:rFonts w:ascii="Times New Roman;serif" w:hAnsi="Times New Roman;serif"/>
          <w:b w:val="false"/>
          <w:color w:val="000000"/>
          <w:sz w:val="20"/>
        </w:rPr>
        <w:t>Quanterix,” “Simoa,” “Simoa HD-X,” “SR-X,” “SP-X,” “HD-X,” “LucentAD,” “Lucent Diagnostics,” “Akoya,” “PhenoCycler,” “PhenoImager,” “PhenoCode,” and our logos are our trademarks. All other service marks, trademarks, and trade names appearing in this Quarterly Report on Form 10-Q are the property of their respective owners. We do not intend our use or display of other companies’ service marks, trademarks, or trade names to imply a relationship with, or endorsement or sponsorship of us, by these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QUANTERIX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 unaudited)</w:t>
      </w:r>
    </w:p>
    <w:tbl>
      <w:tblPr>
        <w:tblW w:w="10205" w:type="dxa"/>
        <w:jc w:val="left"/>
        <w:tblInd w:w="0" w:type="dxa"/>
        <w:tblLayout w:type="fixed"/>
        <w:tblCellMar>
          <w:top w:w="28" w:type="dxa"/>
          <w:left w:w="28" w:type="dxa"/>
          <w:bottom w:w="28" w:type="dxa"/>
          <w:right w:w="28" w:type="dxa"/>
        </w:tblCellMar>
      </w:tblPr>
      <w:tblGrid>
        <w:gridCol w:w="2948"/>
        <w:gridCol w:w="2221"/>
        <w:gridCol w:w="2198"/>
        <w:gridCol w:w="211"/>
        <w:gridCol w:w="826"/>
        <w:gridCol w:w="109"/>
        <w:gridCol w:w="109"/>
        <w:gridCol w:w="109"/>
        <w:gridCol w:w="109"/>
        <w:gridCol w:w="241"/>
        <w:gridCol w:w="946"/>
        <w:gridCol w:w="178"/>
      </w:tblGrid>
      <w:tr>
        <w:trPr/>
        <w:tc>
          <w:tcPr>
            <w:tcW w:w="2948"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29,839 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88,393 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expected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29,972 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54,763 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9,290 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171,051 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212,257 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23,672 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131,787 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26,376 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16,664 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319,627 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418,766 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13,568 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14,979 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17,571 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20,728 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74,762 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29,323 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contingent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8,097 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123,036 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73" w:before="0" w:after="1"/>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Authorized: 120,000; Issued and outstanding: 47,135 and 46,744 shares at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873,637 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(577,231)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295,730 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319,627 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418,766 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QUANTERIX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 unaudited)</w:t>
      </w:r>
    </w:p>
    <w:tbl>
      <w:tblPr>
        <w:tblW w:w="10205" w:type="dxa"/>
        <w:jc w:val="left"/>
        <w:tblInd w:w="0" w:type="dxa"/>
        <w:tblLayout w:type="fixed"/>
        <w:tblCellMar>
          <w:top w:w="28" w:type="dxa"/>
          <w:left w:w="28" w:type="dxa"/>
          <w:bottom w:w="28" w:type="dxa"/>
          <w:right w:w="28" w:type="dxa"/>
        </w:tblCellMar>
      </w:tblPr>
      <w:tblGrid>
        <w:gridCol w:w="1795"/>
        <w:gridCol w:w="1474"/>
        <w:gridCol w:w="1485"/>
        <w:gridCol w:w="211"/>
        <w:gridCol w:w="785"/>
        <w:gridCol w:w="109"/>
        <w:gridCol w:w="109"/>
        <w:gridCol w:w="109"/>
        <w:gridCol w:w="109"/>
        <w:gridCol w:w="211"/>
        <w:gridCol w:w="785"/>
        <w:gridCol w:w="109"/>
        <w:gridCol w:w="109"/>
        <w:gridCol w:w="109"/>
        <w:gridCol w:w="109"/>
        <w:gridCol w:w="211"/>
        <w:gridCol w:w="785"/>
        <w:gridCol w:w="109"/>
        <w:gridCol w:w="109"/>
        <w:gridCol w:w="109"/>
        <w:gridCol w:w="109"/>
        <w:gridCol w:w="211"/>
        <w:gridCol w:w="785"/>
        <w:gridCol w:w="159"/>
      </w:tblGrid>
      <w:tr>
        <w:trPr/>
        <w:tc>
          <w:tcPr>
            <w:tcW w:w="1795"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and other revenue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license revenue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goods sold and services:</w:t>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and other revenue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of goods sold and services</w:t>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24,840 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61,520 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and restructuring costs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(63,467)</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liabilities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(53,503)</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(50,517)</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1105"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38,801</w:t>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QUANTERIX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unaudited)</w:t>
      </w:r>
    </w:p>
    <w:tbl>
      <w:tblPr>
        <w:tblW w:w="9375" w:type="dxa"/>
        <w:jc w:val="left"/>
        <w:tblInd w:w="0" w:type="dxa"/>
        <w:tblLayout w:type="fixed"/>
        <w:tblCellMar>
          <w:top w:w="28" w:type="dxa"/>
          <w:left w:w="28" w:type="dxa"/>
          <w:bottom w:w="28" w:type="dxa"/>
          <w:right w:w="28" w:type="dxa"/>
        </w:tblCellMar>
      </w:tblPr>
      <w:tblGrid>
        <w:gridCol w:w="1406"/>
        <w:gridCol w:w="1228"/>
        <w:gridCol w:w="1251"/>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(66,920)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(48,365)</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QUANTERIX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 unaudited)</w:t>
      </w:r>
    </w:p>
    <w:tbl>
      <w:tblPr>
        <w:tblW w:w="9443" w:type="dxa"/>
        <w:jc w:val="center"/>
        <w:tblInd w:w="0" w:type="dxa"/>
        <w:tblLayout w:type="fixed"/>
        <w:tblCellMar>
          <w:top w:w="28" w:type="dxa"/>
          <w:left w:w="28" w:type="dxa"/>
          <w:bottom w:w="28" w:type="dxa"/>
          <w:right w:w="28" w:type="dxa"/>
        </w:tblCellMar>
      </w:tblPr>
      <w:tblGrid>
        <w:gridCol w:w="2463"/>
        <w:gridCol w:w="2170"/>
        <w:gridCol w:w="2176"/>
        <w:gridCol w:w="211"/>
        <w:gridCol w:w="796"/>
        <w:gridCol w:w="109"/>
        <w:gridCol w:w="109"/>
        <w:gridCol w:w="109"/>
        <w:gridCol w:w="109"/>
        <w:gridCol w:w="211"/>
        <w:gridCol w:w="826"/>
        <w:gridCol w:w="154"/>
      </w:tblGrid>
      <w:tr>
        <w:trPr/>
        <w:tc>
          <w:tcPr>
            <w:tcW w:w="2463"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losses on 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off-market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activity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 accrued expenses, and other current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other operating assets and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and maturities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acquisition payments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financing leases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common stock issued under stock plans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employee taxes withheld on stock-based compensation awards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QUANTERIX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 Organization and Nature of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Quanterix Corporation ("Quanterix" or the "Company") is a life sciences company transforming healthcare innovation by accelerating biomarker breakthroughs from discovery to diagnostics using its ultra-sensitive translational research and spatial biology instruments, consumables, and services. The Company continues to invest in pushing a paradigm shift in healthcare from an emphasis on later-stage treatment to a focus on earlier detection, monitoring, prognosis, and, ultimately, prevention.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Quanterix's proprietary digital "Simoa" detection technology enables customers to reliably detect protein biomarkers at ultra-low concentrations in blood, serum, and other fluids that, in many cases, are undetectable using conventional, analog immunoassay technologies. Multi-plexing biomarker analysis in tissue samples with the Company's spatial biology platforms enables scientists to understand the localized interactions occurring on the cellular level. The Company believes its combination of technologies will enable scientists to help drive diagnostic innovation in the evolving healthcare landscape with data across the tissue to fluid continuum. Currently, the ability of Quanterix's Simoa platforms to detect proteins in the femtomolar range is enabling the development of novel therapies and diagnostics and has the potential to identify early-stage disease markers before symptoms appear.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sells its proprietary instruments and related consumables worldwide to research laboratories, contract research organizations, academic institutions, and bio-pharmaceutical companies. In addition, the Company provides contract research services and clinical laboratory testing services, including four Laboratory Developed Tests ("LDT"), using its proprietary technology through its Accelerator Laboratory (the "Accelerator Laboratory"), which is certified under the Clinical Laboratory Improvement Amendments of 1988 ("CLIA").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2. Significant Accounting Policies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and Notes to Consolidated Financial Statements have been prepared in accordance with generally accepted accounting principles in the United States of America (“U.S. GAAP”) and pursuant to the rules and regulations of the SEC regarding interim financial reporting on Form 10-Q. Accordingly, certain information and disclosures required for complete financial statements prepared in accordance with U.S. GAAP are not included. The Consolidated Balance Sheet and related information as of December 31, 2025 included herein was derived from the audited Consolidated Financial Statements as of December 31, 2025, but does not include all disclosures required by U.S. GAAP on an annual reporting basis.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Consolidated Financial Statements should be read in conjunction with the Company’s Annual Report on Form 10-K for the year ended December 31, 2025, as filed with the SEC on March 2, 2026. Since the date of that filing, there have been no changes or updates to the Company’s significant accounting policies, other than those described below.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the Consolidated Financial Statements and Notes to Consolidated Financial Statements contain all normal, recurring adjustments necessary for a fair statement of financial position, results of operations, comprehensive loss, and cash flows as of the dates and for the interim periods presented. The results of operations for the three and six months ended June 30, 2026 may not be indicative of the results for the full year ending December 31, 2026, or any other period.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fiscal year is the 12-month period from January 1 through December 31, and all references to “2026,” “2025,” and the like refer to that fiscal year unless otherwise noted. Certain amounts in the prior years’ Consolidated Financial Statements have been reclassified to conform to the current year’s presentation, including the change in accounting principle discussed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Change in Accounting Principle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March 31, 2026, the Company changed its accounting policy for classifying shipping and handling costs for product sales, which are primarily comprised of costs paid to third-party shippers for transporting products to customers. Historically shipping and handling costs were recorded in selling, general and administrative expenses. Under the new accounting policy, shipping and handling costs are recorded in cost of product revenue. The Company believes this classification is preferable because including these costs in cost of product revenue will better align the costs with the related revenue in the calculation of gross profit and is consistent with the practices of other companies in the same industry.The Company applied the change in accounting principle retrospectively to all periods presented.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Statements of Operations reflect the effect of the change in accounting principle , which includes a reclassification of $1.3 million and $2.9 million from selling, general and administrative to cost of product revenue during the three and six months ended June 30, 2025, respectively. The change in accounting principle had no impact on revenues, loss from operations, net loss, or net loss per share and did not affect the Consolidated Balance Sheets, Consolidated Statements of Comprehensive Loss, Consolidated Statements of Cash Flows, or Consolidated Statements of Stockholders’ Equity.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preparation of the Consolidated Financial Statements and Notes to Consolidated Financial Statements in conformity with U.S. GAAP requires management to make estimates and assumptions that affect the reported amounts of assets and liabilities at the end of each fiscal period, and the reported amounts of revenues and expenses during each fiscal period. Such estimates include, but are not limited to, revenue recognition, valuation of inventory, valuation and impairment of goodwill, intangible, and other long-lived assets, valuation of acquired assets and assumed liabilities from acquisitions, valuation of contingent liabilities, recoverability of deferred tax assets, and stock-based compensation expense. The Company bases its estimates on historical experience, known trends, worldwide economic conditions, both general and specific to the life sciences industry, and other relevant factors it believes to be reasonable under the circumstances. On an ongoing basis, management evaluates its estimates and changes in estimates are recorded in the period in which they become known. Actual results could differ from those estimates.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and Notes to Consolidated Financial Statements include the accounts of Quanterix and its wholly-owned subsidiaries. All intercompany transactions have been eliminated in consolidation.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functional currency of the Company’s subsidiaries is generally their respective local currencies. These subsidiary financial statements are translated into U.S. dollars using the period-end exchange rates for assets and liabilities, average exchange rates during the corresponding period for revenue and expenses, and historical rates for equity. The effects of foreign currency translation adjustments are recorded in accumulated other comprehensive income (loss), a component of stockholders’ equity on the Consolidated Balance Sheets.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period ending cash and cash equivalents as presented on the Consolidated Balance Sheets and the total cash, cash equivalents, and restricted cash as presented on the Consolidated Statements of Cash Flows (in thousands):</w:t>
      </w:r>
    </w:p>
    <w:tbl>
      <w:tblPr>
        <w:tblW w:w="6113" w:type="dxa"/>
        <w:jc w:val="left"/>
        <w:tblInd w:w="0" w:type="dxa"/>
        <w:tblLayout w:type="fixed"/>
        <w:tblCellMar>
          <w:top w:w="28" w:type="dxa"/>
          <w:left w:w="28" w:type="dxa"/>
          <w:bottom w:w="28" w:type="dxa"/>
          <w:right w:w="28" w:type="dxa"/>
        </w:tblCellMar>
      </w:tblPr>
      <w:tblGrid>
        <w:gridCol w:w="1287"/>
        <w:gridCol w:w="1130"/>
        <w:gridCol w:w="1137"/>
        <w:gridCol w:w="211"/>
        <w:gridCol w:w="721"/>
        <w:gridCol w:w="109"/>
        <w:gridCol w:w="109"/>
        <w:gridCol w:w="109"/>
        <w:gridCol w:w="109"/>
        <w:gridCol w:w="211"/>
        <w:gridCol w:w="82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As of June 30, </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132,896 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135,537 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Restricted cash consists of collateral for letters of credit issued as security for several of the Company’s leased facilities and to secure the Company’s corporate credit card program. The short-term or long-term classification is determined in accordance with the expiration of the underlying letter of credit and 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measures and recognizes stock-based compensation expense by calculating the estimated fair value of restricted stock units ("RSUs"), performance stock units ("PSUs"), stock options, or purchase rights issued under the Company’s employee stock purchase plan ("ESPP"). The Company generally issues new common shares upon the exercise of options, vesting of RSUs and PSUs, and ESPP purchases. Awards granted by the Company are routine in nature including new hire, annual, and promotion grants.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values of stock options and purchase rights under the ESPP are estimated using the Black-Scholes option-pricing model. The Black-Scholes model requires the Company to make assumptions about the expected or contractual term of the option or purchase right, the expected volatility, risk-free interest rates, and expected dividend yield. The Company estimates the expected term of options granted to employees utilizing historical exercise data. The expected term is applied to the stock option grant group as a whole, as the Company does not expect substantially different exercise or post-vesting termination behavior among its employee population. The expected volatility is based on the Company’s historical volatility. The risk-free interest rate is based on the U.S. Treasury yield curve in effect at the time of grant, commensurate with the expected term. The expected dividend yield is zero as the Company has never paid dividends and has no current plans to pay any dividends on common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values of RSUs and PSUs that do not contain a market vesting condition are determined using the closing market price of the Company’s common stock on the grant date. At each reporting period, the Company reassesses the probability of the achievement of PSU performance conditions and any change in share-based compensation expense resulting from the reassessment is treated as a cumulative catch-up in the period of adjustment. If the outcome of such performance conditions is determined to not be probable, additional compensation expense is not recognized, and if such performance conditions are not able to be met, any previously recognized compensation expense is reversed.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PSUs that contain a market vesting condition is determined on the grant date using a Monte Carlo simulation, which requires assumptions for the expected volatility, risk-free interest rate, and expected dividend yield. The Company estimates these assumptions in the same manner as stock options and purchase rights under the ESPP. Stock-based compensation expense is recognized regardless of achievement of the market conditions.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stock-based compensation expense on a straight-line basis over an award’s requisite service period and recognizes forfeitures as they occur. The requisite service period is the offering period for purchase rights under the ESPP and the vesting period for stock options, RSUs, and PSUs that do not contain a market condition. For PSUs that contain a market condition, the requisite service period is the longer of the derived service period or the explicit service period.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lineRule="auto" w:line="288" w:before="0" w:after="240"/>
        <w:ind w:left="0" w:right="0" w:firstLine="720"/>
        <w:jc w:val="left"/>
        <w:rPr/>
      </w:pPr>
      <w:r>
        <w:rPr>
          <w:rFonts w:ascii="Times New Roman;serif" w:hAnsi="Times New Roman;serif"/>
          <w:b w:val="false"/>
          <w:color w:val="000000"/>
          <w:sz w:val="20"/>
        </w:rPr>
        <w:t>In July 2025, the Financial Accounting Standards Board ("FASB") issued ASU No. 2025-05,</w:t>
      </w:r>
      <w:r>
        <w:rPr>
          <w:color w:val="000000"/>
        </w:rPr>
        <w:t xml:space="preserve">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This update provides a practical expedient to assume that current conditions as of the balance sheet date will persist through a reasonable and supportable forecast period for eligible assets when estimating expected credit losses for current accounts receivable and current contract assets arising from transactions accounted for under ASC 606. The new standard became effective for the Company’s interim and annual financial statements beginning on January 1, 2026. The Company adopted this standard as of January 1, 2026 on a prospective basis and elected the practical expedient. The adoption did not have a material impact on the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 Accounting Standards to be Adopted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December 2025, the FASB issued ASC Update No. 2025-12, </w:t>
      </w:r>
      <w:r>
        <w:rPr>
          <w:rFonts w:ascii="Times New Roman;serif" w:hAnsi="Times New Roman;serif"/>
          <w:b w:val="false"/>
          <w:i/>
          <w:color w:val="000000"/>
          <w:sz w:val="20"/>
        </w:rPr>
        <w:t>Codification Improvements</w:t>
      </w:r>
      <w:r>
        <w:rPr>
          <w:rFonts w:ascii="Times New Roman;serif" w:hAnsi="Times New Roman;serif"/>
          <w:b w:val="false"/>
          <w:color w:val="000000"/>
          <w:sz w:val="20"/>
        </w:rPr>
        <w:t>. This update provides a variety of language changes and clarity across several topics which are applicable to the Company. The amendments in this update may be applied prospectively or retrospectively. Additionally, the Company is permitted to elect the transition method for these updates on an issue-by-issue basis. The new standard will be effective for the Company for annual reporting periods beginning after December 15, 2026, and interim reporting periods within those annual reporting periods. The Company is currently evaluating the impact of adoption of the standard on its Consolidated Financial Statements and related disclosures.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December 2025, the FASB issued ASC Update No.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This update enhances interim disclosure requirements. The amendments in this update can be applied prospectively or retrospectively. The new standard will be effective for the Company for interim reporting periods within annual reporting periods beginning after December 15, 2027. The Company is currently evaluating the impact of adoption of the standard on its Consolidated Financial Statements and related disclosures.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November 2025, the FASB issued ASC Update No. 2025-10, </w:t>
      </w:r>
      <w:r>
        <w:rPr>
          <w:rFonts w:ascii="Times New Roman;serif" w:hAnsi="Times New Roman;serif"/>
          <w:b w:val="false"/>
          <w:i/>
          <w:color w:val="000000"/>
          <w:sz w:val="20"/>
        </w:rPr>
        <w:t>Government Grants (Topic 832): Accounting for Government Grants Received by Business Entities</w:t>
      </w:r>
      <w:r>
        <w:rPr>
          <w:rFonts w:ascii="Times New Roman;serif" w:hAnsi="Times New Roman;serif"/>
          <w:b w:val="false"/>
          <w:color w:val="000000"/>
          <w:sz w:val="20"/>
        </w:rPr>
        <w:t>. This update establishes guidance for recognition, measurement, and presentation of government grants received by public business entities. The new standard may be applied using a modified prospective approach, modified retrospective approach, or retrospective approach. The new standard will be effective for the Company for annual reporting periods beginning after December 15, 2028 and interim reporting periods within those annual reporting periods. The Company is currently evaluating the impact of adoption of the standard on its Consolidated Financial Statements and related disclosures.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September 2025, the FASB issued ASC No. 2025-06, </w:t>
      </w:r>
      <w:r>
        <w:rPr>
          <w:rFonts w:ascii="Times New Roman;serif" w:hAnsi="Times New Roman;serif"/>
          <w:b w:val="false"/>
          <w:i/>
          <w:color w:val="000000"/>
          <w:sz w:val="20"/>
        </w:rPr>
        <w:t>Goodwill and Other—Internal-Use Software (Subtopic 350-40): Targeted Improvements to the Accounting for Internal-Use Software</w:t>
      </w:r>
      <w:r>
        <w:rPr>
          <w:rFonts w:ascii="Times New Roman;serif" w:hAnsi="Times New Roman;serif"/>
          <w:b w:val="false"/>
          <w:color w:val="000000"/>
          <w:sz w:val="20"/>
        </w:rPr>
        <w:t>. This update improves operability of the internal use software guidance by removing prescriptive and sequential software development stages. The amendments in this update can be applied prospectively or retrospectively. The new standard will be effective for the Company for annual reporting periods beginning after December 15, 2027 and interim reporting periods within those annual reporting periods. The Company is currently evaluating the impact of adoption of the standard on its Consolidated Financial Statements and related disclosures.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Reporting Comprehensive Income (Topic 220): Expense Disaggregation Disclosures</w:t>
      </w:r>
      <w:r>
        <w:rPr>
          <w:rFonts w:ascii="Times New Roman;serif" w:hAnsi="Times New Roman;serif"/>
          <w:b w:val="false"/>
          <w:color w:val="000000"/>
          <w:sz w:val="20"/>
        </w:rPr>
        <w:t xml:space="preserve">. This update enhances disclosure of an entity's expenses, primarily through additional disaggregation of income statement expenses. The update also requires entities to disclose qualitative descriptions of the amounts remaining in relevant expense captions that are not separately disaggregated quantitatively. The amendments in this update can be applied prospectively or retrospectively. The new standard will be effective for the Company for annual reporting periods beginning after December 15, 2026 and interim reporting periods beginning after December 15, 2027. The Company is currently evaluating the impact of adoption of the standard on its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3. Acquisitions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Akoya Biosciences, Inc.</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8, 2025 (the "Akoya Closing Date"), the Company completed the transactions under the Amended and Restated Agreement and Plan of Merger dated as of April 28, 2025 whereby the Company's wholly owned subsidiary, Wellfleet Merger Sub, Inc. merged with and into Akoya Biosciences, Inc. ("Akoya"), with Akoya surviving the merger (the "Merger") as a wholly owned subsidiary of the Company.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Akoya, a life sciences technology company previously based in Marlborough, Massachusetts, delivers spatial biology solutions focused on transforming discovery, clinical research, and diagnostics. The acquisition of Akoya was part of the Company's plans to establish the first fully integrated technology ecosystem to identify and measure biomarkers across tissue and blood, expand its technology offerings into oncology and immunology, and expand its portfolio of laboratory service offerings.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Total Consideration Transferred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of the consideration transferred for the Merger as of the Akoya Closing Date (in thousands, except for exchange ratio and stock price):</w:t>
      </w:r>
    </w:p>
    <w:tbl>
      <w:tblPr>
        <w:tblW w:w="9201" w:type="dxa"/>
        <w:jc w:val="left"/>
        <w:tblInd w:w="0" w:type="dxa"/>
        <w:tblLayout w:type="fixed"/>
        <w:tblCellMar>
          <w:top w:w="28" w:type="dxa"/>
          <w:left w:w="28" w:type="dxa"/>
          <w:bottom w:w="28" w:type="dxa"/>
          <w:right w:w="28" w:type="dxa"/>
        </w:tblCellMar>
      </w:tblPr>
      <w:tblGrid>
        <w:gridCol w:w="2901"/>
        <w:gridCol w:w="2551"/>
        <w:gridCol w:w="2558"/>
        <w:gridCol w:w="211"/>
        <w:gridCol w:w="826"/>
        <w:gridCol w:w="154"/>
      </w:tblGrid>
      <w:tr>
        <w:trPr/>
        <w:tc>
          <w:tcPr>
            <w:tcW w:w="290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Akoya common stock and equity instruments outstanding as of July 7,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Quanterix common stock issued</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Quanterix stock price per share as of the Akoya Closing Date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Akoya common stock and equity instruments converted to Quanterix common stock</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paid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debt extinguishment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replacement equity awards attributable to pre-combination service (3)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consideration transferred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150,973 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Represents cash paid to Akoya stockholders, including fractional shares, of $0.37 per share of Akoya common stock.</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 Represents the repayment of Akoya’s long-term debt upon closing of the acquisition, including $7.0 million of early termination, legal, and prepayment fees.</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 Represents the fair value of certain equity-based awards held by Akoya employees prior to the Akoya Closing Date that were replaced with Quanterix equity-based awards. The portion of these awards that relates to services performed prior to the Akoya Closing Date were included within the purchase price.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completion of the Merger, the Company assumed Akoya's stock incentive plans. All Akoya restricted stock units outstanding immediately prior to the completion of the Merger were automatically adjusted by an exchange ratio and converted into an equity award of the same type covering shares of the Company's common stock on the same terms and conditions, including continuing vesting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Allocation of Purchase Price</w:t>
      </w:r>
    </w:p>
    <w:p>
      <w:pPr>
        <w:pStyle w:val="TextBody"/>
        <w:bidi w:val="0"/>
        <w:spacing w:lineRule="auto" w:line="288" w:before="0" w:after="240"/>
        <w:ind w:left="0" w:right="0" w:firstLine="720"/>
        <w:jc w:val="left"/>
        <w:rPr/>
      </w:pPr>
      <w:r>
        <w:rPr>
          <w:rFonts w:ascii="Times New Roman;serif" w:hAnsi="Times New Roman;serif"/>
          <w:b w:val="false"/>
          <w:color w:val="000000"/>
          <w:sz w:val="20"/>
        </w:rPr>
        <w:t>The following table summarizes, as of June 30, 2026 and prior to the impairments of the related goodwill and an intangible asset (refer to Note 4</w:t>
      </w:r>
      <w:r>
        <w:rPr>
          <w:color w:val="000000"/>
        </w:rPr>
        <w:t xml:space="preserve"> </w:t>
      </w:r>
      <w:r>
        <w:rPr>
          <w:rFonts w:ascii="Times New Roman;serif" w:hAnsi="Times New Roman;serif"/>
          <w:b w:val="false"/>
          <w:i/>
          <w:color w:val="000000"/>
          <w:sz w:val="20"/>
        </w:rPr>
        <w:t>- Goodwill and Intangible Assets)</w:t>
      </w:r>
      <w:r>
        <w:rPr>
          <w:rFonts w:ascii="Times New Roman;serif" w:hAnsi="Times New Roman;serif"/>
          <w:b w:val="false"/>
          <w:color w:val="000000"/>
          <w:sz w:val="20"/>
        </w:rPr>
        <w:t>, the allocation of the purchase price to the estimated fair values of the acquired assets and liabilities assumed (in thousands):</w:t>
      </w:r>
    </w:p>
    <w:tbl>
      <w:tblPr>
        <w:tblW w:w="6471" w:type="dxa"/>
        <w:jc w:val="left"/>
        <w:tblInd w:w="0" w:type="dxa"/>
        <w:tblLayout w:type="fixed"/>
        <w:tblCellMar>
          <w:top w:w="28" w:type="dxa"/>
          <w:left w:w="28" w:type="dxa"/>
          <w:bottom w:w="28" w:type="dxa"/>
          <w:right w:w="28" w:type="dxa"/>
        </w:tblCellMar>
      </w:tblPr>
      <w:tblGrid>
        <w:gridCol w:w="1908"/>
        <w:gridCol w:w="1679"/>
        <w:gridCol w:w="1693"/>
        <w:gridCol w:w="211"/>
        <w:gridCol w:w="826"/>
        <w:gridCol w:w="154"/>
      </w:tblGrid>
      <w:tr>
        <w:trPr/>
        <w:tc>
          <w:tcPr>
            <w:tcW w:w="1908"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expected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150,973 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Goodwill represented the estimated fair value of the expected synergies from combining Akoya with Quanterix, as well as the value of the acquired workforce. The goodwill was not deductible for income tax purposes.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determination of the fair values of the assets acquired and liabilities assumed involved significant judgment in selecting inputs used in the valuation methodologies, including, but not limited to, projected revenues and expenses, future changes in technology, estimated selling prices, replacement costs or margins, customer attrition rates, covenants not to compete, obsolescence of developed technologies, the likelihood and timing of achieving milestones or performance targets, discount rates, and assumptions about the period of time a brand will continue to be used. The use of different estimates could produce different results.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 which are based only on facts and circumstances that existed as of the acquisition date, were not material during the three and six months ended June 30, 2026.</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and weighted average amortization period of the intangible assets acquired as of the Akoya Closing Date was as follows (in thousands, except weighted average life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tbl>
      <w:tblPr>
        <w:tblW w:w="8238" w:type="dxa"/>
        <w:jc w:val="left"/>
        <w:tblInd w:w="0" w:type="dxa"/>
        <w:tblLayout w:type="fixed"/>
        <w:tblCellMar>
          <w:top w:w="28" w:type="dxa"/>
          <w:left w:w="28" w:type="dxa"/>
          <w:bottom w:w="28" w:type="dxa"/>
          <w:right w:w="28" w:type="dxa"/>
        </w:tblCellMar>
      </w:tblPr>
      <w:tblGrid>
        <w:gridCol w:w="1218"/>
        <w:gridCol w:w="1068"/>
        <w:gridCol w:w="1074"/>
        <w:gridCol w:w="211"/>
        <w:gridCol w:w="826"/>
        <w:gridCol w:w="109"/>
        <w:gridCol w:w="109"/>
        <w:gridCol w:w="109"/>
        <w:gridCol w:w="109"/>
        <w:gridCol w:w="997"/>
        <w:gridCol w:w="997"/>
        <w:gridCol w:w="1411"/>
      </w:tblGrid>
      <w:tr>
        <w:trPr/>
        <w:tc>
          <w:tcPr>
            <w:tcW w:w="121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Weighted Average Useful Life (in years)</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process research and development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 Refer to the section titled "Acquired Diagnostic Development Agreement" for a discussion of the impairment charge recorded in the first quarter of 2026.</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primarily relied on income-based approaches using Level 3 inputs to determine the fair values. A multi-period excess earnings valuation methodology was used for the developed technology and in-process research and development ("IPR&amp;D") intangible assets, and a distributor method was used for the customer relationships intangible. These income approaches required the use of estimates including projected revenues and expenses related to the particular asset, obsolescence rates, customer retention rates, discount rates, and certain published or readily available industry benchmark data. In establishing the estimated useful life of each definite-lived intangible asset, the Company relied primarily on the duration of the cash flows utilized in the valuation model.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Acquired Diagnostic Development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acquisition of Akoya, the Company assumed a diagnostics development agreement (the "Development Agreement") with a biopharmaceutical customer (the "Biopharma Customer"). As of the Akoya Closing Date, the Company assessed the unfavorable terms of the Development Agreement and recorded a $16.7 million off-market liability. The Company determined the fair value of the off-market liability, which represented the amount by which the terms of the contract with the customer deviate from the terms that a market participant could have achieved, based on an income approach using Level 3 inputs. This income approach required the use of estimates including projected revenue, expected profit margin, and a discount rate.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25, 2026, the Development Agreement was terminated by mutual agreement of the parties and, in connection with such termination, Quanterix transferred certain know-how to the Biopharma Customer and granted a non-exclusive, sub-licensable, fully paid license of the related intellectual property. No further consideration was paid to either party for the know-how transfer or license.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IPR&amp;D intangible asset generated by the Merger consisted solely of the intellectual property that was transferred to the Biopharma Customer. As a result of the termination of the Development Agreement, the Company could no longer realize the benefits from the IPR&amp;D asset and the full $19.3 million balance was recorded as an impairment charge during the first quarter of 2026.</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as a result of the termination of the Development Agreement, during the first quarter of 2026 the Company recognized one-time income from the Development Agreements remaining balances consisting of $14.0 million of non-cash income from the off-market liability and $7.9 million of deferred revenue. These amounts were recorded in other income (expense), net on the Company's Consolidated Statements of Operations as the termination of an acquired, off-market, contract is unusual and infrequent in nature.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Emission, Inc.</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8, 2025 (the "Emission Closing Date"), the Company acquired all of the issued and outstanding shares of capital stock of Emission, Inc. ("Emission"), a life sciences manufacturing company based in Georgetown, Texas. Emission produces large-scale, highly-uniform dye-encapsulating magnetic beads designed for low and mid-plex assays and a mid-plex platform that reads these proprietary beads. The transaction was part of the Company's plans to secure the use of Emission’s highly controlled beads in the Company's future products and expansion into a new multi-plex market segment targeting third-party original equipment manufacturer customers. The fair value of the consideration transferred in connection with the acquisition of Emission was $16.6 million, which included a $1.0 million holdback that was paid in the first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Contingent Payments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Emission transaction included two contingent payment arrangements providing for potential additional future cash payments to the seller. An additional $10.0 million was paid in the fourth quarter of 2025 upon completion of certain technical milestones (“Earnout 1”) and, as of June 30, 2026, up to $49.9 million could be payable based on the amount and timing of certain performance targets over a five year period ending December 31, 2029 (“Earnout 2”).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Under ASC 805 -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the Company determined Earnout 1 was compensation expense and was therefore recognized separately from the business combination. In accordance with ASC 710 - </w:t>
      </w:r>
      <w:r>
        <w:rPr>
          <w:rFonts w:ascii="Times New Roman;serif" w:hAnsi="Times New Roman;serif"/>
          <w:b w:val="false"/>
          <w:i/>
          <w:color w:val="000000"/>
          <w:sz w:val="20"/>
        </w:rPr>
        <w:t>Compensation</w:t>
      </w:r>
      <w:r>
        <w:rPr>
          <w:rFonts w:ascii="Times New Roman;serif" w:hAnsi="Times New Roman;serif"/>
          <w:b w:val="false"/>
          <w:color w:val="000000"/>
          <w:sz w:val="20"/>
        </w:rPr>
        <w:t>, Earnout 1 was recognized over the period certain technical milestones were completed in 2025. This expense was recorded in research and development and selling, general and administrative expenses on the Consolidated Statements of Operations. During the three and six months ended June 30, 2025 the Company recognized expense of $4.2 million and $7.9 million, respectively, for Earnout 1.</w:t>
      </w:r>
    </w:p>
    <w:p>
      <w:pPr>
        <w:pStyle w:val="TextBody"/>
        <w:bidi w:val="0"/>
        <w:spacing w:lineRule="auto" w:line="288" w:before="0" w:after="240"/>
        <w:ind w:left="0" w:right="0" w:firstLine="720"/>
        <w:jc w:val="left"/>
        <w:rPr/>
      </w:pPr>
      <w:r>
        <w:rPr>
          <w:rFonts w:ascii="Times New Roman;serif" w:hAnsi="Times New Roman;serif"/>
          <w:b w:val="false"/>
          <w:color w:val="000000"/>
          <w:sz w:val="20"/>
        </w:rPr>
        <w:t>The preliminary fair value of Earnout 2 on the Emission Closing Date was $6.6 million, which represented purchase price. During the three months ended June 30, 2026, the Company's payments related to Earnout 2 were not material. Refer to Note 8</w:t>
      </w:r>
      <w:r>
        <w:rPr>
          <w:color w:val="000000"/>
        </w:rPr>
        <w:t xml:space="preserve"> </w:t>
      </w:r>
      <w:r>
        <w:rPr>
          <w:rFonts w:ascii="Times New Roman;serif" w:hAnsi="Times New Roman;serif"/>
          <w:b w:val="false"/>
          <w:i/>
          <w:color w:val="000000"/>
          <w:sz w:val="20"/>
        </w:rPr>
        <w:t>- Fair Value of Financial Instruments</w:t>
      </w:r>
      <w:r>
        <w:rPr>
          <w:color w:val="000000"/>
        </w:rPr>
        <w:t xml:space="preserve"> </w:t>
      </w:r>
      <w:r>
        <w:rPr>
          <w:rFonts w:ascii="Times New Roman;serif" w:hAnsi="Times New Roman;serif"/>
          <w:b w:val="false"/>
          <w:color w:val="000000"/>
          <w:sz w:val="20"/>
        </w:rPr>
        <w:t>for discussion on the fair value considerations for Earnout 2.</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Call Option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closing of the acquisition of Emission, the Company entered into a call option agreement, in which the Emission selling shareholders have the right to repurchase all of the outstanding capital stock of Emission for $10.0 million after five years if Emission’s revenues do not exceed $5.0 million in any one year during such five-year period. If the Emission selling shareholders exercise the right to repurchase Emission, the Company will retain a perpetual, fully-paid, irrevocable license to all Emission intellectual property required to continue to manufacture and commercialize the Company's products. The Company determined that the call option is embedded in the purchased shares of Emission and does not require separate accounting unless exercised.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Acquisition Costs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Acquisition costs are recorded in selling, general and administrative in the Consolidated Statements of Operations and were not material for the three and six months ended June 30, 2026. Acquisition costs for the three and six months ended June 30, 2025 were $4.0 million and $7.2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4. Goodwill and Intangible Assets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Goodwill and Impairment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2026, the Company completed the integration activities related to its acquisition of Akoya, including the consolidation of operational processes and financial reporting systems. As a result, management concluded that the consolidated Company constituted a single reporting unit as of June 30, 2026.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the Company assessed events and circumstances, including declines in the Company's revenue, and concluded it was more likely than not that the fair value of its single reporting unit was less than its carrying value. As a result, the Company performed a quantitative impairment test. The Company estimated the implied fair value of its reporting unit using a market valuation approach with Level 1 inputs including the Company's quoted stock price and Level 2 inputs including certain published or readily available industry benchmark data. Based on this quantitative test, the Company determined the carrying value of its reporting unit exceeded its fair value. As a result, the Company recorded a goodwill impairment charge of $26.9 million during the three months ended June 30, 2026.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2025, the Company recorded an impairment charge of $6.4 million to its goodwill from the acquisition of Emission.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were as follows (in thousands):</w:t>
      </w:r>
    </w:p>
    <w:tbl>
      <w:tblPr>
        <w:tblW w:w="6704" w:type="dxa"/>
        <w:jc w:val="left"/>
        <w:tblInd w:w="0" w:type="dxa"/>
        <w:tblLayout w:type="fixed"/>
        <w:tblCellMar>
          <w:top w:w="28" w:type="dxa"/>
          <w:left w:w="28" w:type="dxa"/>
          <w:bottom w:w="28" w:type="dxa"/>
          <w:right w:w="28" w:type="dxa"/>
        </w:tblCellMar>
      </w:tblPr>
      <w:tblGrid>
        <w:gridCol w:w="1978"/>
        <w:gridCol w:w="1734"/>
        <w:gridCol w:w="1747"/>
        <w:gridCol w:w="339"/>
        <w:gridCol w:w="656"/>
        <w:gridCol w:w="250"/>
      </w:tblGrid>
      <w:tr>
        <w:trPr/>
        <w:tc>
          <w:tcPr>
            <w:tcW w:w="1978"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Goodwill</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2025</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Emission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(6,374)</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Akoya, including measurement period adjustments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26,376 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26,376 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(26,939)</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Intangible Assets, Long-Lived Assets, and Impairment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completed the integration of Akoya's operations and reassessed its asset groups. Based on updates to how management will deploy and recover the costs of its assets, the Company determined that the assets acquired in the Akoya acquisition were combined with the legacy Quanterix assets into a single asset group for the purposes of assessing recoverability. There were no other material changes to the Company's asset groups.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Prior to performing its interim goodwill impairment test at June 30, 2026, the Company tested the recoverability of its intangible and long-lived assets. The Company utilized an undiscounted cash flow analysis to determine if the cash flows expected to be generated by each of its asset groups over the remaining estimated useful lives of each groups' primary asset were sufficient to recover the carrying value of each asset group. For certain asset groups, the analysis included an estimate of the group's disposal value. Significant assumptions that form the basis of the forecasted results utilized to calculate undiscounted cash flows include projected revenues and expenses and market conditions related to these assets. Collectively, these assumptions and estimates are based on a complex series of judgments about future events and rely heavily on estimates and assumptions that have been deemed reasonable by the Company. Changes in the estimates or assumptions used could materially affect the determination of recoverability. Potential events and circumstances that could have an adverse impact on the Company's estimates and assumptions include, but are not limited to, lower than expected revenue growth, increases in costs, and other macroeconomic factors.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the Company concluded that no additional intangible and long-lived assets were impaired. Should economic conditions deteriorate or remain depressed for a prolonged period of time, estimates of future cash flows for each of the Company’s asset groups may be insufficient to support their carrying value, requiring an impairment. Impairment charges, if any, may be material to the results of operations and financial position.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During the three months ended March 31, 2026, the Company recorded an impairment of an IPR&amp;D intangible asset (refer to Note 3</w:t>
      </w:r>
      <w:r>
        <w:rPr>
          <w:color w:val="000000"/>
        </w:rPr>
        <w:t xml:space="preserve"> </w:t>
      </w:r>
      <w:r>
        <w:rPr>
          <w:rFonts w:ascii="Times New Roman;serif" w:hAnsi="Times New Roman;serif"/>
          <w:b w:val="false"/>
          <w:i/>
          <w:color w:val="000000"/>
          <w:sz w:val="20"/>
        </w:rPr>
        <w:t>- Acquisitions</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Acquired intangible assets consisted of the following (in thousands, except useful life and weighted average life):</w:t>
      </w:r>
    </w:p>
    <w:tbl>
      <w:tblPr>
        <w:tblW w:w="10205" w:type="dxa"/>
        <w:jc w:val="left"/>
        <w:tblInd w:w="0" w:type="dxa"/>
        <w:tblLayout w:type="fixed"/>
        <w:tblCellMar>
          <w:top w:w="28" w:type="dxa"/>
          <w:left w:w="28" w:type="dxa"/>
          <w:bottom w:w="28" w:type="dxa"/>
          <w:right w:w="28" w:type="dxa"/>
        </w:tblCellMar>
      </w:tblPr>
      <w:tblGrid>
        <w:gridCol w:w="621"/>
        <w:gridCol w:w="497"/>
        <w:gridCol w:w="500"/>
        <w:gridCol w:w="328"/>
        <w:gridCol w:w="328"/>
        <w:gridCol w:w="330"/>
        <w:gridCol w:w="109"/>
        <w:gridCol w:w="109"/>
        <w:gridCol w:w="109"/>
        <w:gridCol w:w="225"/>
        <w:gridCol w:w="882"/>
        <w:gridCol w:w="116"/>
        <w:gridCol w:w="109"/>
        <w:gridCol w:w="109"/>
        <w:gridCol w:w="109"/>
        <w:gridCol w:w="211"/>
        <w:gridCol w:w="780"/>
        <w:gridCol w:w="109"/>
        <w:gridCol w:w="109"/>
        <w:gridCol w:w="109"/>
        <w:gridCol w:w="109"/>
        <w:gridCol w:w="211"/>
        <w:gridCol w:w="663"/>
        <w:gridCol w:w="109"/>
        <w:gridCol w:w="109"/>
        <w:gridCol w:w="109"/>
        <w:gridCol w:w="109"/>
        <w:gridCol w:w="211"/>
        <w:gridCol w:w="826"/>
        <w:gridCol w:w="109"/>
        <w:gridCol w:w="109"/>
        <w:gridCol w:w="109"/>
        <w:gridCol w:w="109"/>
        <w:gridCol w:w="441"/>
        <w:gridCol w:w="441"/>
        <w:gridCol w:w="632"/>
      </w:tblGrid>
      <w:tr>
        <w:trPr/>
        <w:tc>
          <w:tcPr>
            <w:tcW w:w="62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w:t>
              <w:br/>
              <w:t xml:space="preserve">Useful </w:t>
              <w:br/>
              <w:t>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w:t>
              <w:br/>
              <w:t>Translation</w:t>
              <w:b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Net 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Life Remaining (in years)</w:t>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7.0 - 14.0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114,150 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Know-how</w:t>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8.5 - 10.0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131,410 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84"/>
        <w:gridCol w:w="606"/>
        <w:gridCol w:w="609"/>
        <w:gridCol w:w="305"/>
        <w:gridCol w:w="305"/>
        <w:gridCol w:w="306"/>
        <w:gridCol w:w="109"/>
        <w:gridCol w:w="109"/>
        <w:gridCol w:w="109"/>
        <w:gridCol w:w="218"/>
        <w:gridCol w:w="857"/>
        <w:gridCol w:w="112"/>
        <w:gridCol w:w="109"/>
        <w:gridCol w:w="109"/>
        <w:gridCol w:w="109"/>
        <w:gridCol w:w="211"/>
        <w:gridCol w:w="771"/>
        <w:gridCol w:w="109"/>
        <w:gridCol w:w="109"/>
        <w:gridCol w:w="109"/>
        <w:gridCol w:w="109"/>
        <w:gridCol w:w="211"/>
        <w:gridCol w:w="649"/>
        <w:gridCol w:w="109"/>
        <w:gridCol w:w="109"/>
        <w:gridCol w:w="109"/>
        <w:gridCol w:w="109"/>
        <w:gridCol w:w="211"/>
        <w:gridCol w:w="826"/>
        <w:gridCol w:w="109"/>
        <w:gridCol w:w="109"/>
        <w:gridCol w:w="109"/>
        <w:gridCol w:w="109"/>
        <w:gridCol w:w="366"/>
        <w:gridCol w:w="366"/>
        <w:gridCol w:w="530"/>
      </w:tblGrid>
      <w:tr>
        <w:trPr/>
        <w:tc>
          <w:tcPr>
            <w:tcW w:w="78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w:t>
              <w:br/>
              <w:t xml:space="preserve">Useful </w:t>
              <w:br/>
              <w:t>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w:t>
              <w:br/>
              <w:t>Translation</w:t>
              <w:b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Net 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Life Remaining (in years)</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assets:</w:t>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7.0 - 14.0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Know-how</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8.5 - 10.0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131,410 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 (1)</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150,710 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pPr>
      <w:r>
        <w:rPr>
          <w:rFonts w:ascii="Times New Roman;serif" w:hAnsi="Times New Roman;serif"/>
          <w:b w:val="false"/>
          <w:color w:val="000000"/>
          <w:sz w:val="20"/>
        </w:rPr>
        <w:t>(1) Refer to Note 3</w:t>
      </w:r>
      <w:r>
        <w:rPr>
          <w:color w:val="000000"/>
        </w:rPr>
        <w:t xml:space="preserve"> </w:t>
      </w:r>
      <w:r>
        <w:rPr>
          <w:rFonts w:ascii="Times New Roman;serif" w:hAnsi="Times New Roman;serif"/>
          <w:b w:val="false"/>
          <w:i/>
          <w:color w:val="000000"/>
          <w:sz w:val="20"/>
        </w:rPr>
        <w:t>- Acquisitions</w:t>
      </w:r>
      <w:r>
        <w:rPr>
          <w:color w:val="000000"/>
        </w:rPr>
        <w:t xml:space="preserve"> </w:t>
      </w:r>
      <w:r>
        <w:rPr>
          <w:rFonts w:ascii="Times New Roman;serif" w:hAnsi="Times New Roman;serif"/>
          <w:b w:val="false"/>
          <w:color w:val="000000"/>
          <w:sz w:val="20"/>
        </w:rPr>
        <w:t>for discussion on the IPR&amp;D impairment during the first quarter of 2026.</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amortization expense of $3.3 million and $0.6 million for the three months ended June 30, 2026 and 2025, respectively. The Company recorded amortization expense of $6.6 million and $1.2 million for the six months ended June 30, 2026 and 2025, respectively.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estimated amortization expense is as follows (in thousands):</w:t>
      </w:r>
    </w:p>
    <w:tbl>
      <w:tblPr>
        <w:tblW w:w="3929" w:type="dxa"/>
        <w:jc w:val="left"/>
        <w:tblInd w:w="0" w:type="dxa"/>
        <w:tblLayout w:type="fixed"/>
        <w:tblCellMar>
          <w:top w:w="28" w:type="dxa"/>
          <w:left w:w="28" w:type="dxa"/>
          <w:bottom w:w="28" w:type="dxa"/>
          <w:right w:w="28" w:type="dxa"/>
        </w:tblCellMar>
      </w:tblPr>
      <w:tblGrid>
        <w:gridCol w:w="844"/>
        <w:gridCol w:w="741"/>
        <w:gridCol w:w="755"/>
        <w:gridCol w:w="281"/>
        <w:gridCol w:w="1103"/>
        <w:gridCol w:w="205"/>
      </w:tblGrid>
      <w:tr>
        <w:trPr/>
        <w:tc>
          <w:tcPr>
            <w:tcW w:w="84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6,632 </w:t>
            </w:r>
          </w:p>
        </w:tc>
        <w:tc>
          <w:tcPr>
            <w:tcW w:w="20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13,157 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11,686 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11,656 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11,656 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50,995 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105,782 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Note 5. Revenue and Related Matters </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Revenue from Contracts with Customers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customers primarily consist of entities engaged in life sciences research that pursue the discovery and development of novel therapies and diagnostics for a variety of neurologic, oncologic, cardiovascular, and infectious disease, and through the identification and measurement of other protein biomarkers associated with diseases. The Company’s customer base includes pharmaceutical, biotechnology, contract research organizations, academic, and government institutions.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40" w:after="240"/>
        <w:jc w:val="left"/>
        <w:rPr>
          <w:rFonts w:ascii="Times New Roman;serif" w:hAnsi="Times New Roman;serif"/>
          <w:b w:val="false"/>
          <w:i/>
          <w:color w:val="000000"/>
          <w:sz w:val="20"/>
        </w:rPr>
      </w:pPr>
      <w:r>
        <w:rPr>
          <w:rFonts w:ascii="Times New Roman;serif" w:hAnsi="Times New Roman;serif"/>
          <w:b w:val="false"/>
          <w:i/>
          <w:color w:val="000000"/>
          <w:sz w:val="20"/>
        </w:rPr>
        <w:t>Disaggregated Revenue</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 disaggregating revenue, the Company considers all of the economic factors that may affect its revenues. The following tables disaggregate the Company’s revenue by geography, based on the location products and services are consumed, and revenue type (in thousands):</w:t>
      </w:r>
    </w:p>
    <w:tbl>
      <w:tblPr>
        <w:tblW w:w="11398" w:type="dxa"/>
        <w:jc w:val="left"/>
        <w:tblInd w:w="0" w:type="dxa"/>
        <w:tblLayout w:type="fixed"/>
        <w:tblCellMar>
          <w:top w:w="28" w:type="dxa"/>
          <w:left w:w="28" w:type="dxa"/>
          <w:bottom w:w="28" w:type="dxa"/>
          <w:right w:w="28" w:type="dxa"/>
        </w:tblCellMar>
      </w:tblPr>
      <w:tblGrid>
        <w:gridCol w:w="662"/>
        <w:gridCol w:w="354"/>
        <w:gridCol w:w="245"/>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Consumable and other products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and other revenue: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Service-type warranties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license revenue:</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713" w:type="dxa"/>
        <w:jc w:val="left"/>
        <w:tblInd w:w="0" w:type="dxa"/>
        <w:tblLayout w:type="fixed"/>
        <w:tblCellMar>
          <w:top w:w="28" w:type="dxa"/>
          <w:left w:w="28" w:type="dxa"/>
          <w:bottom w:w="28" w:type="dxa"/>
          <w:right w:w="28" w:type="dxa"/>
        </w:tblCellMar>
      </w:tblPr>
      <w:tblGrid>
        <w:gridCol w:w="662"/>
        <w:gridCol w:w="354"/>
        <w:gridCol w:w="245"/>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Consumable and other products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37,572 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and other 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Service-type warranties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license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disaggregates the Company’s revenue by technology type (in thousands):</w:t>
      </w:r>
    </w:p>
    <w:tbl>
      <w:tblPr>
        <w:tblW w:w="7860" w:type="dxa"/>
        <w:jc w:val="left"/>
        <w:tblInd w:w="0" w:type="dxa"/>
        <w:tblLayout w:type="fixed"/>
        <w:tblCellMar>
          <w:top w:w="28" w:type="dxa"/>
          <w:left w:w="28" w:type="dxa"/>
          <w:bottom w:w="28" w:type="dxa"/>
          <w:right w:w="28" w:type="dxa"/>
        </w:tblCellMar>
      </w:tblPr>
      <w:tblGrid>
        <w:gridCol w:w="965"/>
        <w:gridCol w:w="851"/>
        <w:gridCol w:w="85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Simoa</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Spatial biology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37,572 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and other revenue: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Simoa</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Spatial biology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and other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15,935 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of the Company's collaboration and license revenue was generated by Simoa technology.</w:t>
      </w:r>
    </w:p>
    <w:p>
      <w:pPr>
        <w:pStyle w:val="TextBody"/>
        <w:bidi w:val="0"/>
        <w:spacing w:lineRule="auto" w:line="288"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no customer accounted for more than 10% of the Company’s total revenues. As of June 30, 2026 and December 31, 2025, no customer accounted for more than 10% of the Company’s gross accounts receivable.</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Contract Assets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contract assets as of June 30, 2026 or December 31, 2025.</w:t>
      </w:r>
    </w:p>
    <w:p>
      <w:pPr>
        <w:pStyle w:val="TextBody"/>
        <w:bidi w:val="0"/>
        <w:spacing w:lineRule="auto" w:line="288" w:before="24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Deferred Revenue</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and 2025, the Company recognized $4.7 million and $3.1 million of revenue, respectively, related to its deferred revenue balance at January 1 of each such period. During the six months ended June 30, 2026 and 2025, the Company recognized $8.2 million and $5.6 million of revenue, respectively, related to its deferred revenue balance at January 1 of each such period. </w:t>
      </w:r>
    </w:p>
    <w:p>
      <w:pPr>
        <w:pStyle w:val="TextBody"/>
        <w:bidi w:val="0"/>
        <w:spacing w:lineRule="auto" w:line="288" w:before="240" w:after="240"/>
        <w:ind w:left="0" w:right="0" w:firstLine="720"/>
        <w:jc w:val="left"/>
        <w:rPr/>
      </w:pPr>
      <w:r>
        <w:rPr>
          <w:rFonts w:ascii="Times New Roman;serif" w:hAnsi="Times New Roman;serif"/>
          <w:b w:val="false"/>
          <w:color w:val="000000"/>
          <w:sz w:val="20"/>
        </w:rPr>
        <w:t>Additionally, during the first quarter of 2026, as a result of the termination of the Development Agreement (refer to Note 3</w:t>
      </w:r>
      <w:r>
        <w:rPr>
          <w:color w:val="000000"/>
        </w:rPr>
        <w:t xml:space="preserve"> </w:t>
      </w:r>
      <w:r>
        <w:rPr>
          <w:rFonts w:ascii="Times New Roman;serif" w:hAnsi="Times New Roman;serif"/>
          <w:b w:val="false"/>
          <w:i/>
          <w:color w:val="000000"/>
          <w:sz w:val="20"/>
        </w:rPr>
        <w:t>- Acquisitions</w:t>
      </w:r>
      <w:r>
        <w:rPr>
          <w:rFonts w:ascii="Times New Roman;serif" w:hAnsi="Times New Roman;serif"/>
          <w:b w:val="false"/>
          <w:color w:val="000000"/>
          <w:sz w:val="20"/>
        </w:rPr>
        <w:t>), the Company recognized $7.9 million of deferred revenue in other income (expense), net.</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aggregate amount of transaction prices allocated to performance obligations that were not yet satisfied, or were partially satisfied, was $17.4 million. Of this amount, $14.9 million is expected to be recognized as revenue in the next 12 months, with the remainder expected to be recognized thereafter. The remaining $2.5 million primarily consists of amounts billed for undelivered services related to initial and extended service-type warranties and research services.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6. Allowance for Credit Losses</w:t>
      </w:r>
    </w:p>
    <w:p>
      <w:pPr>
        <w:pStyle w:val="TextBody"/>
        <w:bidi w:val="0"/>
        <w:spacing w:lineRule="auto" w:line="288" w:before="24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change in the allowance for expected credit losses on accounts receivable is summarized as follows (in thousands):</w:t>
      </w:r>
    </w:p>
    <w:tbl>
      <w:tblPr>
        <w:tblW w:w="5229" w:type="dxa"/>
        <w:jc w:val="left"/>
        <w:tblInd w:w="0" w:type="dxa"/>
        <w:tblLayout w:type="fixed"/>
        <w:tblCellMar>
          <w:top w:w="28" w:type="dxa"/>
          <w:left w:w="28" w:type="dxa"/>
          <w:bottom w:w="28" w:type="dxa"/>
          <w:right w:w="28" w:type="dxa"/>
        </w:tblCellMar>
      </w:tblPr>
      <w:tblGrid>
        <w:gridCol w:w="1080"/>
        <w:gridCol w:w="949"/>
        <w:gridCol w:w="956"/>
        <w:gridCol w:w="211"/>
        <w:gridCol w:w="616"/>
        <w:gridCol w:w="109"/>
        <w:gridCol w:w="109"/>
        <w:gridCol w:w="109"/>
        <w:gridCol w:w="109"/>
        <w:gridCol w:w="211"/>
        <w:gridCol w:w="61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as of December 31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expected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and recoveries collected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as of June 30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7. Marketable Securities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of the Company's marketable securities are classified as available-for-sale. The amortized cost, gross unrealized gains, gross unrealized losses, and fair value of the Company’s marketable securities, by major security type, were as follows (in thousands):</w:t>
      </w:r>
    </w:p>
    <w:tbl>
      <w:tblPr>
        <w:tblW w:w="8710" w:type="dxa"/>
        <w:jc w:val="left"/>
        <w:tblInd w:w="0" w:type="dxa"/>
        <w:tblLayout w:type="fixed"/>
        <w:tblCellMar>
          <w:top w:w="28" w:type="dxa"/>
          <w:left w:w="28" w:type="dxa"/>
          <w:bottom w:w="28" w:type="dxa"/>
          <w:right w:w="28" w:type="dxa"/>
        </w:tblCellMar>
      </w:tblPr>
      <w:tblGrid>
        <w:gridCol w:w="965"/>
        <w:gridCol w:w="849"/>
        <w:gridCol w:w="855"/>
        <w:gridCol w:w="252"/>
        <w:gridCol w:w="862"/>
        <w:gridCol w:w="130"/>
        <w:gridCol w:w="109"/>
        <w:gridCol w:w="109"/>
        <w:gridCol w:w="109"/>
        <w:gridCol w:w="494"/>
        <w:gridCol w:w="599"/>
        <w:gridCol w:w="257"/>
        <w:gridCol w:w="109"/>
        <w:gridCol w:w="109"/>
        <w:gridCol w:w="109"/>
        <w:gridCol w:w="417"/>
        <w:gridCol w:w="745"/>
        <w:gridCol w:w="218"/>
        <w:gridCol w:w="109"/>
        <w:gridCol w:w="109"/>
        <w:gridCol w:w="109"/>
        <w:gridCol w:w="211"/>
        <w:gridCol w:w="721"/>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54,284 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0"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are recorded in the following Consolidated Balance Sheets captions: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09" w:type="dxa"/>
        <w:jc w:val="left"/>
        <w:tblInd w:w="0" w:type="dxa"/>
        <w:tblLayout w:type="fixed"/>
        <w:tblCellMar>
          <w:top w:w="28" w:type="dxa"/>
          <w:left w:w="28" w:type="dxa"/>
          <w:bottom w:w="28" w:type="dxa"/>
          <w:right w:w="28" w:type="dxa"/>
        </w:tblCellMar>
      </w:tblPr>
      <w:tblGrid>
        <w:gridCol w:w="966"/>
        <w:gridCol w:w="850"/>
        <w:gridCol w:w="853"/>
        <w:gridCol w:w="252"/>
        <w:gridCol w:w="862"/>
        <w:gridCol w:w="130"/>
        <w:gridCol w:w="109"/>
        <w:gridCol w:w="109"/>
        <w:gridCol w:w="109"/>
        <w:gridCol w:w="361"/>
        <w:gridCol w:w="800"/>
        <w:gridCol w:w="189"/>
        <w:gridCol w:w="109"/>
        <w:gridCol w:w="109"/>
        <w:gridCol w:w="109"/>
        <w:gridCol w:w="400"/>
        <w:gridCol w:w="771"/>
        <w:gridCol w:w="208"/>
        <w:gridCol w:w="109"/>
        <w:gridCol w:w="109"/>
        <w:gridCol w:w="109"/>
        <w:gridCol w:w="211"/>
        <w:gridCol w:w="721"/>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12,875 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29,572 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13,588 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88,314 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88,393 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fair values and gross unrealized losses of the Company’s marketable securities aggregated by major security type and length of time that the individual securities have been in a continuous unrealized loss position (in thousands): </w:t>
      </w:r>
    </w:p>
    <w:tbl>
      <w:tblPr>
        <w:tblW w:w="8433" w:type="dxa"/>
        <w:jc w:val="left"/>
        <w:tblInd w:w="0" w:type="dxa"/>
        <w:tblLayout w:type="fixed"/>
        <w:tblCellMar>
          <w:top w:w="28" w:type="dxa"/>
          <w:left w:w="28" w:type="dxa"/>
          <w:bottom w:w="28" w:type="dxa"/>
          <w:right w:w="28" w:type="dxa"/>
        </w:tblCellMar>
      </w:tblPr>
      <w:tblGrid>
        <w:gridCol w:w="962"/>
        <w:gridCol w:w="848"/>
        <w:gridCol w:w="860"/>
        <w:gridCol w:w="211"/>
        <w:gridCol w:w="721"/>
        <w:gridCol w:w="109"/>
        <w:gridCol w:w="109"/>
        <w:gridCol w:w="109"/>
        <w:gridCol w:w="109"/>
        <w:gridCol w:w="417"/>
        <w:gridCol w:w="745"/>
        <w:gridCol w:w="218"/>
        <w:gridCol w:w="109"/>
        <w:gridCol w:w="109"/>
        <w:gridCol w:w="109"/>
        <w:gridCol w:w="211"/>
        <w:gridCol w:w="616"/>
        <w:gridCol w:w="109"/>
        <w:gridCol w:w="109"/>
        <w:gridCol w:w="109"/>
        <w:gridCol w:w="109"/>
        <w:gridCol w:w="389"/>
        <w:gridCol w:w="750"/>
        <w:gridCol w:w="286"/>
      </w:tblGrid>
      <w:tr>
        <w:trPr/>
        <w:tc>
          <w:tcPr>
            <w:tcW w:w="96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Greater Than 12 Months</w:t>
            </w:r>
          </w:p>
        </w:tc>
      </w:tr>
      <w:tr>
        <w:trPr/>
        <w:tc>
          <w:tcPr>
            <w:tcW w:w="26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June 30, 2026</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r>
      <w:tr>
        <w:trPr/>
        <w:tc>
          <w:tcPr>
            <w:tcW w:w="26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32" w:type="dxa"/>
        <w:jc w:val="left"/>
        <w:tblInd w:w="0" w:type="dxa"/>
        <w:tblLayout w:type="fixed"/>
        <w:tblCellMar>
          <w:top w:w="28" w:type="dxa"/>
          <w:left w:w="28" w:type="dxa"/>
          <w:bottom w:w="28" w:type="dxa"/>
          <w:right w:w="28" w:type="dxa"/>
        </w:tblCellMar>
      </w:tblPr>
      <w:tblGrid>
        <w:gridCol w:w="965"/>
        <w:gridCol w:w="850"/>
        <w:gridCol w:w="854"/>
        <w:gridCol w:w="211"/>
        <w:gridCol w:w="721"/>
        <w:gridCol w:w="109"/>
        <w:gridCol w:w="109"/>
        <w:gridCol w:w="109"/>
        <w:gridCol w:w="109"/>
        <w:gridCol w:w="400"/>
        <w:gridCol w:w="771"/>
        <w:gridCol w:w="208"/>
        <w:gridCol w:w="109"/>
        <w:gridCol w:w="109"/>
        <w:gridCol w:w="109"/>
        <w:gridCol w:w="211"/>
        <w:gridCol w:w="618"/>
        <w:gridCol w:w="109"/>
        <w:gridCol w:w="109"/>
        <w:gridCol w:w="109"/>
        <w:gridCol w:w="109"/>
        <w:gridCol w:w="471"/>
        <w:gridCol w:w="606"/>
        <w:gridCol w:w="347"/>
      </w:tblGrid>
      <w:tr>
        <w:trPr/>
        <w:tc>
          <w:tcPr>
            <w:tcW w:w="9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Greater Than 12 Months</w:t>
            </w:r>
          </w:p>
        </w:tc>
      </w:tr>
      <w:tr>
        <w:trPr/>
        <w:tc>
          <w:tcPr>
            <w:tcW w:w="26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r>
      <w:tr>
        <w:trPr/>
        <w:tc>
          <w:tcPr>
            <w:tcW w:w="26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marketable securities in an unrealized loss position, the Company does not intend to sell them, it is not more likely than not that the Company will be required to sell them before recovery of their amortized cost bases, and the unrealized losses are not credit related. Accordingly, the Company has not recorded any impairment losses or a credit loss allowance.</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Company did not sell any marketable securities or record any realized gains or losses. During the three and six months ended June 30, 2025, the Company sold $4.4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and $12.7 million, respectively, of marketable securities. Realized gains or losses for the three and six months ended June 30, 2025 were not material.</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contractual maturities of the Company’s marketable securities (in thousands):</w:t>
      </w:r>
    </w:p>
    <w:tbl>
      <w:tblPr>
        <w:tblW w:w="7621" w:type="dxa"/>
        <w:jc w:val="left"/>
        <w:tblInd w:w="0" w:type="dxa"/>
        <w:tblLayout w:type="fixed"/>
        <w:tblCellMar>
          <w:top w:w="28" w:type="dxa"/>
          <w:left w:w="28" w:type="dxa"/>
          <w:bottom w:w="28" w:type="dxa"/>
          <w:right w:w="28" w:type="dxa"/>
        </w:tblCellMar>
      </w:tblPr>
      <w:tblGrid>
        <w:gridCol w:w="734"/>
        <w:gridCol w:w="643"/>
        <w:gridCol w:w="648"/>
        <w:gridCol w:w="252"/>
        <w:gridCol w:w="862"/>
        <w:gridCol w:w="130"/>
        <w:gridCol w:w="109"/>
        <w:gridCol w:w="109"/>
        <w:gridCol w:w="109"/>
        <w:gridCol w:w="211"/>
        <w:gridCol w:w="721"/>
        <w:gridCol w:w="109"/>
        <w:gridCol w:w="109"/>
        <w:gridCol w:w="109"/>
        <w:gridCol w:w="109"/>
        <w:gridCol w:w="252"/>
        <w:gridCol w:w="862"/>
        <w:gridCol w:w="130"/>
        <w:gridCol w:w="109"/>
        <w:gridCol w:w="109"/>
        <w:gridCol w:w="109"/>
        <w:gridCol w:w="211"/>
        <w:gridCol w:w="721"/>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48,004 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71,054 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to two years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54,284 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88,314 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88,393 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8. Fair Value of Financial Instruments</w:t>
      </w:r>
    </w:p>
    <w:p>
      <w:pPr>
        <w:pStyle w:val="TextBody"/>
        <w:bidi w:val="0"/>
        <w:spacing w:lineRule="auto" w:line="288" w:before="24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fair value hierarchy for its financial instruments that are measured at fair value on a recurring basis (in thousands):</w:t>
      </w:r>
    </w:p>
    <w:tbl>
      <w:tblPr>
        <w:tblW w:w="10205" w:type="dxa"/>
        <w:jc w:val="left"/>
        <w:tblInd w:w="0" w:type="dxa"/>
        <w:tblLayout w:type="fixed"/>
        <w:tblCellMar>
          <w:top w:w="28" w:type="dxa"/>
          <w:left w:w="28" w:type="dxa"/>
          <w:bottom w:w="28" w:type="dxa"/>
          <w:right w:w="28" w:type="dxa"/>
        </w:tblCellMar>
      </w:tblPr>
      <w:tblGrid>
        <w:gridCol w:w="844"/>
        <w:gridCol w:w="676"/>
        <w:gridCol w:w="612"/>
        <w:gridCol w:w="211"/>
        <w:gridCol w:w="721"/>
        <w:gridCol w:w="109"/>
        <w:gridCol w:w="109"/>
        <w:gridCol w:w="109"/>
        <w:gridCol w:w="109"/>
        <w:gridCol w:w="396"/>
        <w:gridCol w:w="1355"/>
        <w:gridCol w:w="204"/>
        <w:gridCol w:w="109"/>
        <w:gridCol w:w="109"/>
        <w:gridCol w:w="109"/>
        <w:gridCol w:w="426"/>
        <w:gridCol w:w="1456"/>
        <w:gridCol w:w="219"/>
        <w:gridCol w:w="109"/>
        <w:gridCol w:w="109"/>
        <w:gridCol w:w="109"/>
        <w:gridCol w:w="426"/>
        <w:gridCol w:w="1248"/>
        <w:gridCol w:w="321"/>
      </w:tblGrid>
      <w:tr>
        <w:trPr/>
        <w:tc>
          <w:tcPr>
            <w:tcW w:w="84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June 30, 2026</w:t>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in active markets </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 xml:space="preserve">Significant other observable inputs </w:t>
            </w:r>
          </w:p>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unobservable inputs </w:t>
              <w:br/>
              <w:t>(Level 3)</w:t>
            </w:r>
          </w:p>
        </w:tc>
      </w:tr>
      <w:tr>
        <w:trPr/>
        <w:tc>
          <w:tcPr>
            <w:tcW w:w="21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19,684 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4,877 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19,684 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21,291 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49,360 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19,684 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54,237 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liabilities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3,823 </w:t>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27"/>
        <w:gridCol w:w="637"/>
        <w:gridCol w:w="640"/>
        <w:gridCol w:w="211"/>
        <w:gridCol w:w="826"/>
        <w:gridCol w:w="109"/>
        <w:gridCol w:w="109"/>
        <w:gridCol w:w="109"/>
        <w:gridCol w:w="109"/>
        <w:gridCol w:w="391"/>
        <w:gridCol w:w="1338"/>
        <w:gridCol w:w="202"/>
        <w:gridCol w:w="109"/>
        <w:gridCol w:w="109"/>
        <w:gridCol w:w="109"/>
        <w:gridCol w:w="420"/>
        <w:gridCol w:w="1436"/>
        <w:gridCol w:w="216"/>
        <w:gridCol w:w="109"/>
        <w:gridCol w:w="109"/>
        <w:gridCol w:w="109"/>
        <w:gridCol w:w="421"/>
        <w:gridCol w:w="1233"/>
        <w:gridCol w:w="317"/>
      </w:tblGrid>
      <w:tr>
        <w:trPr/>
        <w:tc>
          <w:tcPr>
            <w:tcW w:w="82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in active markets </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Significant other observable inputs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unobservable inputs </w:t>
              <w:br/>
              <w:t>(Level 3)</w:t>
            </w:r>
          </w:p>
        </w:tc>
      </w:tr>
      <w:tr>
        <w:trPr/>
        <w:tc>
          <w:tcPr>
            <w:tcW w:w="21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17,219 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17,219 </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12,877 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29,650 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13,594 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32,272 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88,393 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17,219 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88,393 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liabilities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5,684 </w:t>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(1)Recurring fair value measurements using Level 3 inputs relate to the Company’s contingent consideration liability from the acquisition of Emission and the contingent liability assumed in the acquisition of Akoya.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equivalents and marketable securities classified as Level 2 financial assets are initially valued at their purchase price and subsequently valued at the end of each reporting period utilizing third party pricing services or other observable data. The pricing services utilize industry standard valuation methods, including both income and market-based approaches, and observable market inputs to determine the fair value. These observable market inputs include reportable trades, benchmark yields, credit spreads, broker/dealer quotes, bids, offers, current spot rates, and other industry and economic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Level 3 Financial Instruments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changes in the Company's Level 3 financial instruments measured at fair value on a recurring basis:</w:t>
      </w:r>
    </w:p>
    <w:tbl>
      <w:tblPr>
        <w:tblW w:w="6674" w:type="dxa"/>
        <w:jc w:val="left"/>
        <w:tblInd w:w="0" w:type="dxa"/>
        <w:tblLayout w:type="fixed"/>
        <w:tblCellMar>
          <w:top w:w="28" w:type="dxa"/>
          <w:left w:w="28" w:type="dxa"/>
          <w:bottom w:w="28" w:type="dxa"/>
          <w:right w:w="28" w:type="dxa"/>
        </w:tblCellMar>
      </w:tblPr>
      <w:tblGrid>
        <w:gridCol w:w="1021"/>
        <w:gridCol w:w="896"/>
        <w:gridCol w:w="902"/>
        <w:gridCol w:w="223"/>
        <w:gridCol w:w="652"/>
        <w:gridCol w:w="115"/>
        <w:gridCol w:w="109"/>
        <w:gridCol w:w="109"/>
        <w:gridCol w:w="109"/>
        <w:gridCol w:w="277"/>
        <w:gridCol w:w="810"/>
        <w:gridCol w:w="143"/>
        <w:gridCol w:w="109"/>
        <w:gridCol w:w="109"/>
        <w:gridCol w:w="109"/>
        <w:gridCol w:w="211"/>
        <w:gridCol w:w="61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 Liabilities</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Emission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PKI License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fair value</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883" w:type="dxa"/>
        <w:jc w:val="left"/>
        <w:tblInd w:w="0" w:type="dxa"/>
        <w:tblLayout w:type="fixed"/>
        <w:tblCellMar>
          <w:top w:w="28" w:type="dxa"/>
          <w:left w:w="28" w:type="dxa"/>
          <w:bottom w:w="28" w:type="dxa"/>
          <w:right w:w="28" w:type="dxa"/>
        </w:tblCellMar>
      </w:tblPr>
      <w:tblGrid>
        <w:gridCol w:w="1097"/>
        <w:gridCol w:w="963"/>
        <w:gridCol w:w="969"/>
        <w:gridCol w:w="223"/>
        <w:gridCol w:w="652"/>
        <w:gridCol w:w="115"/>
        <w:gridCol w:w="109"/>
        <w:gridCol w:w="109"/>
        <w:gridCol w:w="109"/>
        <w:gridCol w:w="357"/>
        <w:gridCol w:w="688"/>
        <w:gridCol w:w="184"/>
        <w:gridCol w:w="109"/>
        <w:gridCol w:w="109"/>
        <w:gridCol w:w="109"/>
        <w:gridCol w:w="211"/>
        <w:gridCol w:w="616"/>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 Liabilities</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Emission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PKI License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Emission - Earnout 2</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fair value</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(1)Earnout 2 requires additional consideration to be paid to the selling shareholders based on the amount and timing of certain performance targets. Earnout 2 is measured and paid over a five year period ending December 2029.</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(2)As part of Akoya's 2018 acquisition of the Quantitative Pathology Solutions division of Perkin Elmer, Inc., subsequently known as Revvity, Inc. ("PKI"), Akoya entered into a license agreement with PKI (the "PKI License"). The Company recognizes the assumed contingent liability at fair value in accordance with ASC 805. The PKI License is measured and paid over an eight year period ending March 2033.</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Monte-Carlo simulations and discounted cash flow analyses were used to determine the fair values including projected revenue, a risk adjusted discount rate, and revenue volatility. Changes in fair value subsequent to the acquisition date were due to updated valuation inputs. Increases or decreases in the inputs would have resulted in a higher or lower fair value measurements.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remaining range of outcomes payable for Earnout 2 is zero to $49.9 million. It is not possible to estimate a range of outcomes payable for the PKI License as there is no cap on the amount that could be earned.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contingent liabilities are recorded in accrued expenses and other current liabilities and non-current portion of contingent liabilities on the Consolidated Balance Sheets. Changes in fair value are recorded in change in fair value of contingent liabilities on the Consolidated Statements of Operations.</w:t>
      </w:r>
    </w:p>
    <w:p>
      <w:pPr>
        <w:pStyle w:val="TextBody"/>
        <w:bidi w:val="0"/>
        <w:spacing w:lineRule="auto" w:line="288" w:before="24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Other Fair Value Disclosures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the Company did not transfer financial assets between levels of the fair value hierarchy. Additionally, there have been no changes to the valuation techniques for Level 2 or Level 3 financial assets or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Note 9. Inventory </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Inventory, net of inventory reserves, consisted of the following (in thousands):</w:t>
      </w:r>
    </w:p>
    <w:tbl>
      <w:tblPr>
        <w:tblW w:w="4421" w:type="dxa"/>
        <w:jc w:val="left"/>
        <w:tblInd w:w="0" w:type="dxa"/>
        <w:tblLayout w:type="fixed"/>
        <w:tblCellMar>
          <w:top w:w="28" w:type="dxa"/>
          <w:left w:w="28" w:type="dxa"/>
          <w:bottom w:w="28" w:type="dxa"/>
          <w:right w:w="28" w:type="dxa"/>
        </w:tblCellMar>
      </w:tblPr>
      <w:tblGrid>
        <w:gridCol w:w="516"/>
        <w:gridCol w:w="453"/>
        <w:gridCol w:w="456"/>
        <w:gridCol w:w="228"/>
        <w:gridCol w:w="779"/>
        <w:gridCol w:w="117"/>
        <w:gridCol w:w="109"/>
        <w:gridCol w:w="109"/>
        <w:gridCol w:w="109"/>
        <w:gridCol w:w="300"/>
        <w:gridCol w:w="1026"/>
        <w:gridCol w:w="219"/>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9,208 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13,727 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11,030 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47,601 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54,763 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10. Accrued Expenses and Other Current Liabilities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tbl>
      <w:tblPr>
        <w:tblW w:w="7257" w:type="dxa"/>
        <w:jc w:val="left"/>
        <w:tblInd w:w="0" w:type="dxa"/>
        <w:tblLayout w:type="fixed"/>
        <w:tblCellMar>
          <w:top w:w="28" w:type="dxa"/>
          <w:left w:w="28" w:type="dxa"/>
          <w:bottom w:w="28" w:type="dxa"/>
          <w:right w:w="28" w:type="dxa"/>
        </w:tblCellMar>
      </w:tblPr>
      <w:tblGrid>
        <w:gridCol w:w="1542"/>
        <w:gridCol w:w="1357"/>
        <w:gridCol w:w="1361"/>
        <w:gridCol w:w="253"/>
        <w:gridCol w:w="741"/>
        <w:gridCol w:w="131"/>
        <w:gridCol w:w="109"/>
        <w:gridCol w:w="109"/>
        <w:gridCol w:w="109"/>
        <w:gridCol w:w="300"/>
        <w:gridCol w:w="1026"/>
        <w:gridCol w:w="219"/>
      </w:tblGrid>
      <w:tr>
        <w:trPr/>
        <w:tc>
          <w:tcPr>
            <w:tcW w:w="154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services</w:t>
            </w:r>
          </w:p>
        </w:tc>
        <w:tc>
          <w:tcPr>
            <w:tcW w:w="2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royalties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 liabilities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holdback (1)</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Off-market liability (2)</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8,483 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17,571 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Times New Roman;serif" w:hAnsi="Times New Roman;serif"/>
          <w:b w:val="false"/>
          <w:color w:val="000000"/>
          <w:sz w:val="20"/>
        </w:rPr>
        <w:t>(1) The holdback associated with the Emission acquisition (refer to Note 3</w:t>
      </w:r>
      <w:r>
        <w:rPr>
          <w:color w:val="000000"/>
        </w:rPr>
        <w:t xml:space="preserve"> </w:t>
      </w:r>
      <w:r>
        <w:rPr>
          <w:rFonts w:ascii="Times New Roman;serif" w:hAnsi="Times New Roman;serif"/>
          <w:b w:val="false"/>
          <w:i/>
          <w:color w:val="000000"/>
          <w:sz w:val="20"/>
        </w:rPr>
        <w:t>- Acquisitions)</w:t>
      </w:r>
      <w:r>
        <w:rPr>
          <w:color w:val="000000"/>
        </w:rPr>
        <w:t xml:space="preserve"> </w:t>
      </w:r>
      <w:r>
        <w:rPr>
          <w:rFonts w:ascii="Times New Roman;serif" w:hAnsi="Times New Roman;serif"/>
          <w:b w:val="false"/>
          <w:color w:val="000000"/>
          <w:sz w:val="20"/>
        </w:rPr>
        <w:t>was paid in the first quarter of 2026.</w:t>
      </w:r>
    </w:p>
    <w:p>
      <w:pPr>
        <w:pStyle w:val="TextBody"/>
        <w:bidi w:val="0"/>
        <w:spacing w:lineRule="auto" w:line="288" w:before="0" w:after="0"/>
        <w:ind w:left="0" w:right="0" w:hanging="270"/>
        <w:jc w:val="left"/>
        <w:rPr/>
      </w:pPr>
      <w:r>
        <w:rPr>
          <w:rFonts w:ascii="Times New Roman;serif" w:hAnsi="Times New Roman;serif"/>
          <w:b w:val="false"/>
          <w:color w:val="000000"/>
          <w:sz w:val="20"/>
        </w:rPr>
        <w:t>(2) Represented the current portion of an off-market component of the Development Agreement (assumed in the acquisition of Akoya). This contract was terminated in the first quarter of 2026. Refer to Note 3</w:t>
      </w:r>
      <w:r>
        <w:rPr>
          <w:color w:val="000000"/>
        </w:rPr>
        <w:t xml:space="preserve"> </w:t>
      </w:r>
      <w:r>
        <w:rPr>
          <w:rFonts w:ascii="Times New Roman;serif" w:hAnsi="Times New Roman;serif"/>
          <w:b w:val="false"/>
          <w:i/>
          <w:color w:val="000000"/>
          <w:sz w:val="20"/>
        </w:rPr>
        <w:t>- Acquisitions</w:t>
      </w:r>
      <w:r>
        <w:rPr>
          <w:rFonts w:ascii="Times New Roman;serif" w:hAnsi="Times New Roman;serif"/>
          <w:b w:val="false"/>
          <w:color w:val="000000"/>
          <w:sz w:val="20"/>
        </w:rPr>
        <w:t>.</w:t>
      </w:r>
    </w:p>
    <w:p>
      <w:pPr>
        <w:pStyle w:val="TextBody"/>
        <w:bidi w:val="0"/>
        <w:spacing w:before="240" w:after="283"/>
        <w:ind w:left="0" w:right="0" w:firstLine="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Note 11. Stockholders' Equity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changes in equity during the three and six months ended June 30, 2026 and 2025 (amounts in thousands):</w:t>
      </w:r>
    </w:p>
    <w:tbl>
      <w:tblPr>
        <w:tblW w:w="10205" w:type="dxa"/>
        <w:jc w:val="center"/>
        <w:tblInd w:w="0" w:type="dxa"/>
        <w:tblLayout w:type="fixed"/>
        <w:tblCellMar>
          <w:top w:w="28" w:type="dxa"/>
          <w:left w:w="28" w:type="dxa"/>
          <w:bottom w:w="28" w:type="dxa"/>
          <w:right w:w="28" w:type="dxa"/>
        </w:tblCellMar>
      </w:tblPr>
      <w:tblGrid>
        <w:gridCol w:w="830"/>
        <w:gridCol w:w="473"/>
        <w:gridCol w:w="476"/>
        <w:gridCol w:w="360"/>
        <w:gridCol w:w="361"/>
        <w:gridCol w:w="196"/>
        <w:gridCol w:w="109"/>
        <w:gridCol w:w="109"/>
        <w:gridCol w:w="109"/>
        <w:gridCol w:w="214"/>
        <w:gridCol w:w="366"/>
        <w:gridCol w:w="111"/>
        <w:gridCol w:w="109"/>
        <w:gridCol w:w="109"/>
        <w:gridCol w:w="109"/>
        <w:gridCol w:w="228"/>
        <w:gridCol w:w="894"/>
        <w:gridCol w:w="117"/>
        <w:gridCol w:w="109"/>
        <w:gridCol w:w="109"/>
        <w:gridCol w:w="109"/>
        <w:gridCol w:w="320"/>
        <w:gridCol w:w="960"/>
        <w:gridCol w:w="168"/>
        <w:gridCol w:w="109"/>
        <w:gridCol w:w="109"/>
        <w:gridCol w:w="109"/>
        <w:gridCol w:w="217"/>
        <w:gridCol w:w="875"/>
        <w:gridCol w:w="112"/>
        <w:gridCol w:w="109"/>
        <w:gridCol w:w="109"/>
        <w:gridCol w:w="109"/>
        <w:gridCol w:w="228"/>
        <w:gridCol w:w="893"/>
        <w:gridCol w:w="171"/>
      </w:tblGrid>
      <w:tr>
        <w:trPr/>
        <w:tc>
          <w:tcPr>
            <w:tcW w:w="83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46,744 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873,637 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(577,231)</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295,730 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stock plans, net of tax and payments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marketable securities, net of tax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net of tax</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(17,541)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877,877 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(594,772)</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282,139 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stock plans, net of tax and payments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marketable securities, net of tax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net of tax</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(48,934)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(48,934)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47,135 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882,039 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(1,168)</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(643,706)</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237,212 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830"/>
        <w:gridCol w:w="473"/>
        <w:gridCol w:w="476"/>
        <w:gridCol w:w="360"/>
        <w:gridCol w:w="361"/>
        <w:gridCol w:w="196"/>
        <w:gridCol w:w="109"/>
        <w:gridCol w:w="109"/>
        <w:gridCol w:w="109"/>
        <w:gridCol w:w="214"/>
        <w:gridCol w:w="366"/>
        <w:gridCol w:w="111"/>
        <w:gridCol w:w="109"/>
        <w:gridCol w:w="109"/>
        <w:gridCol w:w="109"/>
        <w:gridCol w:w="228"/>
        <w:gridCol w:w="894"/>
        <w:gridCol w:w="117"/>
        <w:gridCol w:w="109"/>
        <w:gridCol w:w="109"/>
        <w:gridCol w:w="109"/>
        <w:gridCol w:w="320"/>
        <w:gridCol w:w="960"/>
        <w:gridCol w:w="168"/>
        <w:gridCol w:w="109"/>
        <w:gridCol w:w="109"/>
        <w:gridCol w:w="109"/>
        <w:gridCol w:w="217"/>
        <w:gridCol w:w="875"/>
        <w:gridCol w:w="112"/>
        <w:gridCol w:w="109"/>
        <w:gridCol w:w="109"/>
        <w:gridCol w:w="109"/>
        <w:gridCol w:w="228"/>
        <w:gridCol w:w="893"/>
        <w:gridCol w:w="171"/>
      </w:tblGrid>
      <w:tr>
        <w:trPr/>
        <w:tc>
          <w:tcPr>
            <w:tcW w:w="83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38,544 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803,160 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(3,080)</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(470,081)</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330,038 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stock plans, net of tax and payments</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w:t>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marketable securities, net of tax</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net of tax</w:t>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(20,504)</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808,760 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(490,585)</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316,393 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stock plans, net of tax and payments</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5,373</w:t>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marketable securities, net of tax</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net of tax</w:t>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961</w:t>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(30,013)</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38,873 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813,945 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(520,598)</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292,458 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12. Stock-Based Compensation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Stock-Based Compensation Plans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2026, the Board of Directors approved an increase of 2.0 million shares of common stock to be reserved for issuance under the Amended and Restated 2025 Inducement Plan (the "Inducement Plan"). The Inducement Plan allows for issuance of up to 2.9 million shares of Quanterix common stock. The only persons eligible to receive grants of stock-based awards under the Inducement Plan are individuals who satisfy the standards for inducement grants under Nasdaq Listing Rule 5635(c)(4).</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 option and ESPP activity during the three and six months ended June 30, 2026 was not material.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Restricted Stock and Performance Stock Units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RSUs represent the right to receive shares of common stock based on continued employment during the vesting period, which is generally four years. Shares are delivered to the grantee upon vesting, less shares for the payment of withholding taxes. PSUs represent the right to receive shares of common stock based on the achievement of performance or market conditions and continued employment during the vesting period.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granted 4.9 million RSUs, which had a weighted average grant date fair value of $5.95 per share, and granted 1.2 million PSUs, which had a weighted average grant date fair value of $5.62 per share. During the three months ended June 30, 2026, RSU grants were not material and no PSUs were granted.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PSUs granted during the six months ended June 30, 2026, 0.8 million contained market vesting conditions that are based on the Company's volume weighted share price exceeding pre-set prices over a four year performance period. For the 0.4 million PSUs granted containing performance vesting conditions, the number of shares issuable at the end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one year performance period could be up to 125% of the granted award based on the Company's performance against pre-set objectives.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RSUs and PSUs vested or forfeited during the three and six months ended June 30, 2026 were not material.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was recorded in the following categories on the Consolidated Statements of Operations (in thousands):</w:t>
      </w:r>
    </w:p>
    <w:tbl>
      <w:tblPr>
        <w:tblW w:w="8387" w:type="dxa"/>
        <w:jc w:val="left"/>
        <w:tblInd w:w="0" w:type="dxa"/>
        <w:tblLayout w:type="fixed"/>
        <w:tblCellMar>
          <w:top w:w="28" w:type="dxa"/>
          <w:left w:w="28" w:type="dxa"/>
          <w:bottom w:w="28" w:type="dxa"/>
          <w:right w:w="28" w:type="dxa"/>
        </w:tblCellMar>
      </w:tblPr>
      <w:tblGrid>
        <w:gridCol w:w="1247"/>
        <w:gridCol w:w="1099"/>
        <w:gridCol w:w="1103"/>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72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and other revenue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4,212 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5,373 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10,834 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total unrecognized stock-based compensation expense related to unvested RSUs, PSUs, and stock options was $35.9 million, which is expected to be recognized over the remaining weighted-average vesting period of 2.8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13. Net Loss Per Share</w:t>
      </w:r>
    </w:p>
    <w:p>
      <w:pPr>
        <w:pStyle w:val="TextBody"/>
        <w:bidi w:val="0"/>
        <w:spacing w:lineRule="auto" w:line="288" w:before="24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computation of basic and diluted net loss per share (in thousands, except per share data):</w:t>
      </w:r>
    </w:p>
    <w:tbl>
      <w:tblPr>
        <w:tblW w:w="10205" w:type="dxa"/>
        <w:jc w:val="left"/>
        <w:tblInd w:w="0" w:type="dxa"/>
        <w:tblLayout w:type="fixed"/>
        <w:tblCellMar>
          <w:top w:w="28" w:type="dxa"/>
          <w:left w:w="28" w:type="dxa"/>
          <w:bottom w:w="28" w:type="dxa"/>
          <w:right w:w="28" w:type="dxa"/>
        </w:tblCellMar>
      </w:tblPr>
      <w:tblGrid>
        <w:gridCol w:w="1713"/>
        <w:gridCol w:w="1511"/>
        <w:gridCol w:w="1526"/>
        <w:gridCol w:w="211"/>
        <w:gridCol w:w="786"/>
        <w:gridCol w:w="109"/>
        <w:gridCol w:w="109"/>
        <w:gridCol w:w="109"/>
        <w:gridCol w:w="109"/>
        <w:gridCol w:w="211"/>
        <w:gridCol w:w="786"/>
        <w:gridCol w:w="109"/>
        <w:gridCol w:w="109"/>
        <w:gridCol w:w="109"/>
        <w:gridCol w:w="109"/>
        <w:gridCol w:w="211"/>
        <w:gridCol w:w="786"/>
        <w:gridCol w:w="109"/>
        <w:gridCol w:w="109"/>
        <w:gridCol w:w="109"/>
        <w:gridCol w:w="109"/>
        <w:gridCol w:w="211"/>
        <w:gridCol w:w="786"/>
        <w:gridCol w:w="159"/>
      </w:tblGrid>
      <w:tr>
        <w:trPr/>
        <w:tc>
          <w:tcPr>
            <w:tcW w:w="171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(50,517)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and diluted</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38,801</w:t>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the Company was in a net loss position for all periods, the following table presents the common share equivalents (calculated on a weighted average basis) excluded from the calculation of diluted net loss per share (in thousands): </w:t>
      </w:r>
    </w:p>
    <w:tbl>
      <w:tblPr>
        <w:tblW w:w="6944" w:type="dxa"/>
        <w:jc w:val="left"/>
        <w:tblInd w:w="0" w:type="dxa"/>
        <w:tblLayout w:type="fixed"/>
        <w:tblCellMar>
          <w:top w:w="28" w:type="dxa"/>
          <w:left w:w="28" w:type="dxa"/>
          <w:bottom w:w="28" w:type="dxa"/>
          <w:right w:w="28" w:type="dxa"/>
        </w:tblCellMar>
      </w:tblPr>
      <w:tblGrid>
        <w:gridCol w:w="813"/>
        <w:gridCol w:w="716"/>
        <w:gridCol w:w="720"/>
        <w:gridCol w:w="251"/>
        <w:gridCol w:w="251"/>
        <w:gridCol w:w="251"/>
        <w:gridCol w:w="251"/>
        <w:gridCol w:w="251"/>
        <w:gridCol w:w="251"/>
        <w:gridCol w:w="251"/>
        <w:gridCol w:w="251"/>
        <w:gridCol w:w="251"/>
        <w:gridCol w:w="109"/>
        <w:gridCol w:w="109"/>
        <w:gridCol w:w="109"/>
        <w:gridCol w:w="224"/>
        <w:gridCol w:w="224"/>
        <w:gridCol w:w="224"/>
        <w:gridCol w:w="224"/>
        <w:gridCol w:w="224"/>
        <w:gridCol w:w="224"/>
        <w:gridCol w:w="224"/>
        <w:gridCol w:w="224"/>
        <w:gridCol w:w="317"/>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7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3,651</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3,977</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5,426</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RSUs and PSUs</w:t>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4,503</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3,997</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ESPP purchases</w:t>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dilutive shares</w:t>
            </w:r>
          </w:p>
        </w:tc>
        <w:tc>
          <w:tcPr>
            <w:tcW w:w="753" w:type="dxa"/>
            <w:gridSpan w:val="3"/>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8,210</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8,054</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7,228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14. Income Taxes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rates were (0.1)% and 0.2% for the three months ended June 30, 2026 and 2025, respectively, and (0.1)% and 5.6% for the six months ended June 30, 2026 and 2025, respectively. The decrease in the effective tax rates was due to a non-recurring benefit in 2025 of $3.0 million related to the release of a portion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Company's valuation allowance due to taxable temporary differences recorded as part of the acquisition of Emission, which are a source of income to realize certain pre-existing federal and state deferred tax assets. The income tax provision and effective tax rate is driven primarily by a valuation allowance in the United States, partially offset by income taxes in foreign jurisdictions.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maintains a valuation allowance on the majority of its deferred tax assets and has concluded that it is more likely than not that the deferred assets will not be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15. Commitments and Contingencies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non-cancellable purchase commitments primarily consist of purchases of raw materials for manufacturing operations, instruments, and third party technology and services under annual and multi-year agreements, some of which have minimum quantity requirements. As of June 30, 2026, the Company’s total purchase commitments under these agreements was not material.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Legal Contingencies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claims in the ordinary course of business; however, the Company is not currently a party to any pending or threatened litigation, the outcome of which would be expected to have a material adverse effect on its financial condition or results of operations. The Company accrues for contingent liabilities when losses are probable and estimable. If an estimate of a probable loss is a range and no amount within the range is more likely than any other amount in the range, the Company accrues the minimum amount of the range.</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undiscounted future lease payments for non-cancelable operating and financing leases were as follows (in thousands): </w:t>
      </w:r>
    </w:p>
    <w:tbl>
      <w:tblPr>
        <w:tblW w:w="4919" w:type="dxa"/>
        <w:jc w:val="left"/>
        <w:tblInd w:w="0" w:type="dxa"/>
        <w:tblLayout w:type="fixed"/>
        <w:tblCellMar>
          <w:top w:w="28" w:type="dxa"/>
          <w:left w:w="28" w:type="dxa"/>
          <w:bottom w:w="28" w:type="dxa"/>
          <w:right w:w="28" w:type="dxa"/>
        </w:tblCellMar>
      </w:tblPr>
      <w:tblGrid>
        <w:gridCol w:w="1272"/>
        <w:gridCol w:w="1114"/>
        <w:gridCol w:w="1123"/>
        <w:gridCol w:w="274"/>
        <w:gridCol w:w="936"/>
        <w:gridCol w:w="200"/>
      </w:tblGrid>
      <w:tr>
        <w:trPr/>
        <w:tc>
          <w:tcPr>
            <w:tcW w:w="1272"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Maturity of lease liabilities as of June 30, 2026</w:t>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350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w:t>
            </w:r>
          </w:p>
        </w:tc>
        <w:tc>
          <w:tcPr>
            <w:tcW w:w="27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5,084 </w:t>
            </w:r>
          </w:p>
        </w:tc>
        <w:tc>
          <w:tcPr>
            <w:tcW w:w="20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8,952 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8,395 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7,028 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21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38,724 </w:t>
            </w:r>
          </w:p>
        </w:tc>
        <w:tc>
          <w:tcPr>
            <w:tcW w:w="20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7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33,387 </w:t>
            </w:r>
          </w:p>
        </w:tc>
        <w:tc>
          <w:tcPr>
            <w:tcW w:w="20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did not enter into any material leases.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16. Related Party Transactions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a change in the composition of its board of directors, the Company no longer has related party relationships with Harvard University or Tufts University. Additionally, as a result of the termination of the Development Agreement on February 25, 2026, the Company no longer has material related-party transactions with the Biopharma Customer.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17. Restructuring Costs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Restructuring Costs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2025, the Company announced a plan to reduce operating costs and preserve cash which included a reduction in force. The plan was substantially completed by the end of the second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2025, the Company incurred expenses of $1.3 million related to the reduction in force, substantially all of which was cash payments in 2025 for severance and related benefits. These expenses were recorded in impairment and restructuring on the Consolidated Statements of Operations.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Restructuring activities during the six months ended June 30, 2026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18. Segment Reporting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enterprise about which separate discrete information is available for evaluation by the chief operating decision-maker ("CODM") in deciding how to allocate resources and assess performance. The Company’s CODM is the chief executive officer.</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operate as one reportable segment as of June 30, 2026. This operating segment is focused on the development and commercialization of comprehensive biomarker solutions that identify signatures in blood and tissue to provide insights to providers, patients, and research organizations. </w:t>
      </w:r>
    </w:p>
    <w:p>
      <w:pPr>
        <w:pStyle w:val="TextBody"/>
        <w:bidi w:val="0"/>
        <w:spacing w:lineRule="auto" w:line="288" w:before="0" w:after="240"/>
        <w:ind w:left="0" w:right="0" w:firstLine="720"/>
        <w:jc w:val="left"/>
        <w:rPr/>
      </w:pPr>
      <w:r>
        <w:rPr>
          <w:rFonts w:ascii="Times New Roman;serif" w:hAnsi="Times New Roman;serif"/>
          <w:b w:val="false"/>
          <w:color w:val="000000"/>
          <w:sz w:val="20"/>
        </w:rPr>
        <w:t>The Company utilizes consolidated net loss as the measure of segment profitability (loss) as required by ASU 2023-07 –</w:t>
      </w:r>
      <w:r>
        <w:rPr>
          <w:color w:val="000000"/>
        </w:rPr>
        <w:t xml:space="preserve"> </w:t>
      </w:r>
      <w:r>
        <w:rPr>
          <w:rFonts w:ascii="Times New Roman;serif" w:hAnsi="Times New Roman;serif"/>
          <w:b w:val="false"/>
          <w:i/>
          <w:color w:val="000000"/>
          <w:sz w:val="20"/>
        </w:rPr>
        <w:t>Segment Reporting (Topic 280)</w:t>
      </w:r>
      <w:r>
        <w:rPr>
          <w:rFonts w:ascii="Times New Roman;serif" w:hAnsi="Times New Roman;serif"/>
          <w:b w:val="false"/>
          <w:color w:val="000000"/>
          <w:sz w:val="20"/>
        </w:rPr>
        <w:t xml:space="preserve">. The CODM uses this measure, along with the significant revenue and expense lines included in the table below, when analyzing the Company’s operations and performance and determining how to allocate resources. These measures are consistently used by the CODM in comparing budgeted results versus actuals, in determining when or where to invest resources into specific areas of the business, and for decisions on strategic initiatives, all of which are assessed at the consolidated level.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significant segment information reviewed by the CODM to consolidated net loss:</w:t>
      </w:r>
    </w:p>
    <w:tbl>
      <w:tblPr>
        <w:tblW w:w="8235" w:type="dxa"/>
        <w:jc w:val="left"/>
        <w:tblInd w:w="0" w:type="dxa"/>
        <w:tblLayout w:type="fixed"/>
        <w:tblCellMar>
          <w:top w:w="28" w:type="dxa"/>
          <w:left w:w="28" w:type="dxa"/>
          <w:bottom w:w="28" w:type="dxa"/>
          <w:right w:w="28" w:type="dxa"/>
        </w:tblCellMar>
      </w:tblPr>
      <w:tblGrid>
        <w:gridCol w:w="993"/>
        <w:gridCol w:w="875"/>
        <w:gridCol w:w="877"/>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44"/>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goods sold and services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operating expenses (2)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 (3)</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(48,934)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(66,475)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(50,517)</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(1)Revenue generated from contracts outside of ASC 606 was not material for the three and six months ended June 30, 2026 and 2025.</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(2)Consists of research and development and selling, general and administrative expenses from the Consolidated Statements of Operations.</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(3)Other segment items represent discrete events, non-recurring transactions, or insignificant items that are not used by the CODM to evaluate the Company’s performance or allocate resources, and include:</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a.Impairment and restructuring costs – impairment charges for IPR&amp;D, goodwill, and other long-lived assets, costs associated with approved restructuring plans, including employee separation costs and any associated costs related to implementing a restructuring plan, and vacant leased facilities;</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b.Change in fair value of contingent liabilities – changes in the fair value of contingent payments as a result of updated valuation inputs;</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c.Interest income – interest earned on cash, cash equivalents, and marketable securities, and the accretion of discounts on marketable securities;</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d.Other income (expense), net – gains and losses on foreign currency, and other non-recurring items that are not a part of the Company’s core business operations; and</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e.Income tax benefit (expense) – income taxes related to federal, state, and foreign jurisdictions in which the Company conducts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CODM also reviews consolidated balance sheet accounts and activity including cash usage and other working capital changes using the balances as reported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Other than the change in accounting policy for shipping and handling costs (refer to Note 2</w:t>
      </w:r>
      <w:r>
        <w:rPr>
          <w:color w:val="000000"/>
        </w:rPr>
        <w:t xml:space="preserve"> </w:t>
      </w:r>
      <w:r>
        <w:rPr>
          <w:rFonts w:ascii="Times New Roman;serif" w:hAnsi="Times New Roman;serif"/>
          <w:b w:val="false"/>
          <w:i/>
          <w:color w:val="000000"/>
          <w:sz w:val="20"/>
        </w:rPr>
        <w:t>- Significant Accounting Policies</w:t>
      </w:r>
      <w:r>
        <w:rPr>
          <w:rFonts w:ascii="Times New Roman;serif" w:hAnsi="Times New Roman;serif"/>
          <w:b w:val="false"/>
          <w:color w:val="000000"/>
          <w:sz w:val="20"/>
        </w:rPr>
        <w:t>), there have been no changes to the methods used to determine segment profit or loss or the significant segment captions across any of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Consolidated Financial Statements and Notes to Consolidated Financial Statements in the section titled “Part I. Item 1. Financial Statements (Unaudited)” in this Quarterly Report on Form 10-Q and our audited Consolidated Financial Statements and Management’s Discussion and Analysis of Financial Condition and Results of Operations included in our Annual Report on Form 10-K for the year ended December 31, 2025 (the “2025 Form 10-K”), as filed with the U.S. Securities and Exchange Commission (the “SEC”) on March 2, 2026. Certain columns and rows may not add due to the use of rounded numbers. Percentages presented are calculated from the underlying unrounded numbers. In addition to historical information, the following discussion and analysis contains forward-looking statements that involve risks, uncertainties, and assumptions. Our actual results, performance, or experience may differ materially from those discussed below due to various important factors, risks, and uncertainties, including, but not limited to, those set forth in the sections titled “Part II, Item 1A. Risk Factors” and “Note Regarding Forward-Looking Statements” included in this Quarterly Report on Form 10-Q or in the section titled “Part I, Item 1A. Risk Factors” of our 2025 Form 10-K. Unless the context otherwise requires, the terms “Quanterix,” the “Company,” “we,” “it,” “us, “and “our” in this Quarterly Report on Form 10-Q refer to Quanterix Corporation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2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We are a life sciences company transforming healthcare innovation by accelerating biomarker breakthroughs from discovery to diagnostics using our ultra-sensitive translational research and spatial biology instruments, consumables, and services. We continue to invest in pushing a paradigm shift in healthcare from an emphasis on later-stage treatment to a focu</w:t>
      </w:r>
      <w:r>
        <w:rPr>
          <w:rFonts w:ascii="Times New Roman;serif" w:hAnsi="Times New Roman;serif"/>
          <w:b w:val="false"/>
          <w:color w:val="000000"/>
          <w:sz w:val="20"/>
        </w:rPr>
        <w:t>s on earlier detection, monitoring, prognosis, and, ultimately, prevention. Our combined platforms have achieved significant commercial adoption with an installed base of over 2,500 instruments and scientific validation with citations in more than 6,800 scientific publications in areas of high unmet medical need and research interest such as neurology, oncology, immunology, and inflammation.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proprietary digital "Simoa" detection technology enables customers to reliably detect protein biomarkers at ultra-low concentrations in blood, serum, and other fluids that, in many cases, are undetectable using conventional, analog immunoassay technologies. Multi-plexing biomarker analysis in tissue samples with our spatial biology platforms enables scientists to understand the localized interactions occurring on the cellular level. We believe our combination of technologies will enable scientists to help drive diagnostic innovation in the evolving healthcare landscape with data across the tissue to fluid continuum. Currently, the ability of our Simoa platforms to detect proteins in the femtomolar range is enabling the development of novel therapies and diagnostics and has the potential to identify early-stage disease markers before symptoms appear.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instruments are designed to be used either with assays fully developed by us, including all antibodies and supplies required to run the assays, or with "homebrew" assay kits where we supply some of the components required for testing, and the customer supplies the remaining required elements. Accordingly, our installed instruments generate a recurring revenue stream. As the installed base of our instruments increases, we expect total consumables revenue to increase.</w:t>
      </w:r>
    </w:p>
    <w:p>
      <w:pPr>
        <w:pStyle w:val="TextBody"/>
        <w:bidi w:val="0"/>
        <w:spacing w:lineRule="auto" w:line="288" w:before="0" w:after="240"/>
        <w:ind w:left="0" w:right="0" w:firstLine="720"/>
        <w:jc w:val="left"/>
        <w:rPr/>
      </w:pPr>
      <w:r>
        <w:rPr>
          <w:rFonts w:ascii="Times New Roman;serif" w:hAnsi="Times New Roman;serif"/>
          <w:b w:val="false"/>
          <w:color w:val="000000"/>
          <w:sz w:val="20"/>
        </w:rPr>
        <w:t>We also provide contract research services and clinical laboratory testing services, including four Laboratory Developed Tests ("LDT"), using our proprietary Simoa and spatial biology technology through our Accelerator Laboratory (the "Accelerator Laboratory"), which is certified under the Clinical Laboratory Improvement Amendments of 1988 ("CLIA"). To date, we have completed over 2,650 projects for more than 500 c</w:t>
      </w:r>
      <w:r>
        <w:rPr>
          <w:rFonts w:ascii="Times New Roman;serif" w:hAnsi="Times New Roman;serif"/>
          <w:b w:val="false"/>
          <w:color w:val="000000"/>
          <w:sz w:val="20"/>
          <w:shd w:fill="FFFFFF" w:val="clear"/>
        </w:rPr>
        <w:t>ustomers throughout the world using our platforms.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an extensive base of worldwide customers including research laboratories, contract research organizations ("CROs"), academic institutions, and bio-pharmaceutical companies. We sell our instruments, consumables, and services through direct field sales and support organizations in North America and Europe, and through our own sales force and distributors in countries throughout Europe, Asia Pacific, Africa, Latin America, and the Middle East.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total revenues were $32.9 million and $69.3 million for the three and six months ended June 30, 2026, respectively, and $24.5 million and $54.8 million for the three and six months ended June 30, 2025, respectively. Since our inception, we have incurred annual net losses, including net losses of $48.9 million and $66.5 million for the three and six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months ended June 30, 2026, respectively, and $30.0 million and $50.5 million for the three and six months ended June 30, 2025, respectively.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operating losses to continue in the remainder of 2026 as we incur costs related to the following: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 xml:space="preserve">expanding our research and development efforts to improve our existing, or to develop and launch new, assays and instruments. These expenses could be particularly significant if any of our products </w:t>
      </w:r>
      <w:r>
        <w:rPr>
          <w:rFonts w:ascii="Times New Roman;serif" w:hAnsi="Times New Roman;serif"/>
          <w:b w:val="false"/>
          <w:color w:val="000000"/>
          <w:sz w:val="20"/>
        </w:rPr>
        <w:t xml:space="preserve">become subject to additional or more burdensome regulation by </w:t>
      </w:r>
      <w:r>
        <w:rPr>
          <w:rFonts w:ascii="Times New Roman;serif" w:hAnsi="Times New Roman;serif"/>
          <w:b w:val="false"/>
          <w:color w:val="000000"/>
          <w:sz w:val="20"/>
          <w:shd w:fill="FFFFFF" w:val="clear"/>
        </w:rPr>
        <w:t>the U.S. Food and Drug Administration (the “FDA”);</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investing in Lucent Diagnostics, additional LDTs, and other diagnostics initiatives including entry into translational pharma and clinical diagnostic markets;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 xml:space="preserve">seeking Premarket Approval (“PMA”), de novo classification, or 510(k) clearance from the FDA for our products to market them for use in the prevention, diagnosis, or treatment of a disease or other condition;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making required earnout payments under the Emission, Inc. ("Emission") acquisition agreement, which are contingent upon certain performance milestones;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entering into collaboration arrangements, or in-licensing other products and technologies;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adding or enhancing operational, financial, and management information systems.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Subsequent to our acquisition of Akoya Biosciences, Inc. ("Akoya") in 2025, we implemented actions to realize many of the transaction's synergies. In the second quarter of 2026, we completed the integration of Akoya with the consolidation of operational processes and financial reporting systems. As a result of the actions we took, on an annualized basis, we have realized approximately $85.0 million of cost synergies.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Recent Business Developments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Business Strategy Update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appointment of our new President and Chief Executive Officer in January 2026, we undertook a comprehensive review of the Company’s commercial and product strategy. Upon completion of the review, we announced in May 2026 and August 2026 several significant changes intended to accelerate revenue growth in our research tools business and to further advance our position in the Alzheimer’s Disease diagnostics market.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improve our commercial effectiveness, we have hired a new Chief Commercial Officer who has extensive life sciences and diagnostics business experience. Under this new leadership, we are reorganizing our commercial organization to product-based selling, adding additional experienced sales leadership within our Accelerator business, improving lead generation efforts, and investing in marketing spend. These investments are intended to strengthen sales execution and competitive positioning and to deepen our pharmaceutical partnerships.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increasing our strategic focus on Alzheimer’s diagnostics, as reflected by our hiring of an experienced Senior Vice President, General Manager Diagnostics to oversee our diagnostics business and investing in laboratory infrastructure and targeted commercial programs.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help fund these investments, we streamlined our product roadmap and commenced upgrading our HD</w:t>
        <w:noBreakHyphen/>
        <w:t>X platform with the intent to pursue FDA in vitro diagnostics ("IVD") status in 2027.</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By focusing our efforts on these initiatives, we believe we can positively impact our revenues starting in the second half of 2026 and more materially in 2027. We further believe these changes, supported by sustained investment in our SP-X, SR-X, and spatial biology platforms, will enable us to defend and extend our leadership in the early-stage research and translational markets, which remain foundational to the organization.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FDA 510(k) Submission for a Multi-Analyte Algorithmic Blood Test for Alzheimer’s Disease Detection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31, 2026, we submitted a 510(k) premarket notification to the FDA for a multi-analyte algorithmic blood test for Alzheimer’s disease.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submission represents a significant milestone in the Company’s mission to provide superior, non-invasive, high-performance diagnostic tools to aid in the evaluation of patients with cognitive symptoms for possible Alzheimer’s disease. The multi-analyte test previously received Breakthrough Device Designation from the FDA, a program intended to accelerate the development and review of devices that provide for more effective treatment or diagnosis of life-threatening or irreversibly debilitating diseases. The test is intended to aid in identifying whether patients with cognitive symptoms are likely to have amyloid brain plaques—a hallmark of Alzheimer’s—providing diagnostic clarity through a non-invasive blood test.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LucentAD Complete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LucentAD Complete is our multi-biomarker LDT used in assessing Alzheimer’s disease pathology. In November 2025, the Centers for Medicare &amp; Medicaid Services approved a reimbursement rate of $897 for our LucentAD Complete test.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we completed multiple clinical utility and implementation studies evaluating LucentAD Complete across the Alzheimer's disease diagnostic pathway, including primary care and specialty neurology settings. Results from these studies were presented at the Alzheimer's Association International Conference and are being prepared for peer-reviewed publication.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July 1, 2026, members covered under Anthem Blue Cross and Blue Shield medical policies can receive coverage for qualifying blood-based biomarker testing, including LucentAD Complete, when medical necessity criteria are met.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these clinical and reimbursement milestones support broader adoption of LucentAD Complete and may facilitate additional commercial and government payer coverage over time.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Acquisitions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Refer to Note 3</w:t>
      </w:r>
      <w:r>
        <w:rPr>
          <w:color w:val="000000"/>
        </w:rPr>
        <w:t xml:space="preserve"> </w:t>
      </w:r>
      <w:r>
        <w:rPr>
          <w:rFonts w:ascii="Times New Roman;serif" w:hAnsi="Times New Roman;serif"/>
          <w:b w:val="false"/>
          <w:i/>
          <w:color w:val="000000"/>
          <w:sz w:val="20"/>
        </w:rPr>
        <w:t>- Acquisitions</w:t>
      </w:r>
      <w:r>
        <w:rPr>
          <w:color w:val="000000"/>
        </w:rPr>
        <w:t xml:space="preserve"> </w:t>
      </w:r>
      <w:r>
        <w:rPr>
          <w:rFonts w:ascii="Times New Roman;serif" w:hAnsi="Times New Roman;serif"/>
          <w:b w:val="false"/>
          <w:color w:val="000000"/>
          <w:sz w:val="20"/>
        </w:rPr>
        <w:t>in the Notes to Consolidated Financial Statements for information on our acquisitions of Emission and Akoya, which occurred in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Goodwill Impairment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declines in our revenue during the second quarter of 2026, we concluded that it was more likely than not that the fair value our single reporting unit was less than its carrying amount. As a result, we performed a quantitative impairment test as of June 30, 2026 and determined the carrying value of our reporting unit exceeded its fair value. As a result, we recorded a goodwill impairment charge of $26.9 million during the three months ended June 30, 2026.</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Termination of Diagnostic Development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acquisition of Akoya, we assumed a diagnostics development agreement (the "Development Agreement") with a biopharmaceutical customer. On February 25, 2026, the Development Agreement was terminated by mutual agreement of the parties. As a result of the termination, during the three months ended March 31, 2026, we recorded an impairment charge of $19.3 million for the related in-process research and development intangible asset. Additionally, we recognized one-time income which included $14.0 million of non-cash income from the contract's related off-market liability and $7.9 million of deferred revenue. These amounts were recorded in other income, net on our Consolidated Statements of Operations, as the termination of an acquired, off-market contract is unusual and infrequent in nature.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Change in Accounting Principle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2026 we changed our accounting policy for classifying shipping and handling costs for product sales, which are primarily comprised of costs paid to third-party shippers for transporting products to customers. Historically, shipping and handling costs have been recorded in selling, general and administrative expenses. Under the new accounting policy, shipping and handling costs are recorded in cost of product revenue. We believe this classification is preferable because including these costs in cost of product revenue will better align the costs with the related revenue in the calculation of gross profit and is consistent with the practices of other companies in the same industry. We applied the change in accounting principle retrospectively to all periods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Statements of Operations and this Management's Discussion and Analysis of Financial Condition and Results of Operations reflect the effect of the change in accounting principle, which includes a reclassification of $1.3 million and $2.9 million from selling, general and administrative to cost of product revenue during the three and six months ended June 30, 2025, respectively. The change in accounting principle had no impact on revenues, loss from operations, net loss, or net loss per share and did not affect the Consolidated Balance Sheets, Consolidated Statements of Comprehensive Loss, Consolidated Statements of Cash Flows, or Consolidated Statements of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Comparison of Results of Operations for the Three Months Ended June 30, 2026 and 2025:</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select Consolidated Statements of Operations data, and such data as a percentage of total revenues (in thousands, except percentages):</w:t>
      </w:r>
    </w:p>
    <w:tbl>
      <w:tblPr>
        <w:tblW w:w="10205" w:type="dxa"/>
        <w:jc w:val="left"/>
        <w:tblInd w:w="0" w:type="dxa"/>
        <w:tblLayout w:type="fixed"/>
        <w:tblCellMar>
          <w:top w:w="28" w:type="dxa"/>
          <w:left w:w="28" w:type="dxa"/>
          <w:bottom w:w="28" w:type="dxa"/>
          <w:right w:w="28" w:type="dxa"/>
        </w:tblCellMar>
      </w:tblPr>
      <w:tblGrid>
        <w:gridCol w:w="1014"/>
        <w:gridCol w:w="718"/>
        <w:gridCol w:w="724"/>
        <w:gridCol w:w="211"/>
        <w:gridCol w:w="764"/>
        <w:gridCol w:w="109"/>
        <w:gridCol w:w="109"/>
        <w:gridCol w:w="109"/>
        <w:gridCol w:w="109"/>
        <w:gridCol w:w="259"/>
        <w:gridCol w:w="250"/>
        <w:gridCol w:w="508"/>
        <w:gridCol w:w="109"/>
        <w:gridCol w:w="109"/>
        <w:gridCol w:w="109"/>
        <w:gridCol w:w="211"/>
        <w:gridCol w:w="764"/>
        <w:gridCol w:w="109"/>
        <w:gridCol w:w="109"/>
        <w:gridCol w:w="109"/>
        <w:gridCol w:w="109"/>
        <w:gridCol w:w="259"/>
        <w:gridCol w:w="250"/>
        <w:gridCol w:w="508"/>
        <w:gridCol w:w="109"/>
        <w:gridCol w:w="109"/>
        <w:gridCol w:w="109"/>
        <w:gridCol w:w="211"/>
        <w:gridCol w:w="764"/>
        <w:gridCol w:w="109"/>
        <w:gridCol w:w="109"/>
        <w:gridCol w:w="109"/>
        <w:gridCol w:w="109"/>
        <w:gridCol w:w="251"/>
        <w:gridCol w:w="257"/>
        <w:gridCol w:w="320"/>
      </w:tblGrid>
      <w:tr>
        <w:trPr/>
        <w:tc>
          <w:tcPr>
            <w:tcW w:w="101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3"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and other revenue</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license revenue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goods sold and services:</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and other revenue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of goods sold and services</w:t>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and restructuring costs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5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5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liabilities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(48,934)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5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(30,013)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5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(18,921)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40" w:after="240"/>
        <w:ind w:left="0" w:right="0" w:firstLine="720"/>
        <w:jc w:val="left"/>
        <w:rPr/>
      </w:pPr>
      <w:r>
        <w:rPr>
          <w:rFonts w:ascii="Times New Roman;serif" w:hAnsi="Times New Roman;serif"/>
          <w:b w:val="false"/>
          <w:color w:val="000000"/>
          <w:sz w:val="20"/>
        </w:rPr>
        <w:t xml:space="preserve">Total revenues increased $8.4 million, or 34%, to $32.9 million for the three months ended June 30, 2026, compared to $24.5 million for the three months ended June 30, 2025. </w:t>
      </w:r>
      <w:r>
        <w:rPr>
          <w:rFonts w:ascii="Times New Roman;serif" w:hAnsi="Times New Roman;serif"/>
          <w:b w:val="false"/>
          <w:color w:val="202124"/>
          <w:sz w:val="20"/>
        </w:rPr>
        <w:t xml:space="preserve">For the </w:t>
      </w:r>
      <w:r>
        <w:rPr>
          <w:rFonts w:ascii="Times New Roman;serif" w:hAnsi="Times New Roman;serif"/>
          <w:b w:val="false"/>
          <w:color w:val="000000"/>
          <w:sz w:val="20"/>
        </w:rPr>
        <w:t xml:space="preserve">three months ended June 30, 2026, product revenue consisted of instrument sales of $3.7 million and sales of consumables and other products of $19.8 million. </w:t>
      </w:r>
    </w:p>
    <w:p>
      <w:pPr>
        <w:pStyle w:val="TextBody"/>
        <w:bidi w:val="0"/>
        <w:spacing w:lineRule="auto" w:line="288" w:before="240" w:after="240"/>
        <w:ind w:left="0" w:right="0" w:firstLine="720"/>
        <w:jc w:val="left"/>
        <w:rPr/>
      </w:pPr>
      <w:r>
        <w:rPr>
          <w:rFonts w:ascii="Times New Roman;serif" w:hAnsi="Times New Roman;serif"/>
          <w:b w:val="false"/>
          <w:color w:val="202124"/>
          <w:sz w:val="20"/>
        </w:rPr>
        <w:t xml:space="preserve">Product revenue </w:t>
      </w:r>
      <w:r>
        <w:rPr>
          <w:rFonts w:ascii="Times New Roman;serif" w:hAnsi="Times New Roman;serif"/>
          <w:b w:val="false"/>
          <w:color w:val="000000"/>
          <w:sz w:val="20"/>
        </w:rPr>
        <w:t>increased $6.6 million</w:t>
      </w:r>
      <w:r>
        <w:rPr>
          <w:rFonts w:ascii="Times New Roman;serif" w:hAnsi="Times New Roman;serif"/>
          <w:b w:val="false"/>
          <w:color w:val="202124"/>
          <w:sz w:val="20"/>
        </w:rPr>
        <w:t xml:space="preserve">, or </w:t>
      </w:r>
      <w:r>
        <w:rPr>
          <w:rFonts w:ascii="Times New Roman;serif" w:hAnsi="Times New Roman;serif"/>
          <w:b w:val="false"/>
          <w:color w:val="000000"/>
          <w:sz w:val="20"/>
        </w:rPr>
        <w:t>39%</w:t>
      </w:r>
      <w:r>
        <w:rPr>
          <w:rFonts w:ascii="Times New Roman;serif" w:hAnsi="Times New Roman;serif"/>
          <w:b w:val="false"/>
          <w:color w:val="202124"/>
          <w:sz w:val="20"/>
        </w:rPr>
        <w:t xml:space="preserve">, to </w:t>
      </w:r>
      <w:r>
        <w:rPr>
          <w:rFonts w:ascii="Times New Roman;serif" w:hAnsi="Times New Roman;serif"/>
          <w:b w:val="false"/>
          <w:color w:val="000000"/>
          <w:sz w:val="20"/>
        </w:rPr>
        <w:t>$23.5 million</w:t>
      </w:r>
      <w:r>
        <w:rPr>
          <w:color w:val="202124"/>
        </w:rPr>
        <w:t xml:space="preserve"> </w:t>
      </w:r>
      <w:r>
        <w:rPr>
          <w:rFonts w:ascii="Times New Roman;serif" w:hAnsi="Times New Roman;serif"/>
          <w:b w:val="false"/>
          <w:color w:val="202124"/>
          <w:sz w:val="20"/>
        </w:rPr>
        <w:t xml:space="preserve">for the </w:t>
      </w:r>
      <w:r>
        <w:rPr>
          <w:rFonts w:ascii="Times New Roman;serif" w:hAnsi="Times New Roman;serif"/>
          <w:b w:val="false"/>
          <w:color w:val="000000"/>
          <w:sz w:val="20"/>
        </w:rPr>
        <w:t>three months ended June 30, 2026</w:t>
      </w:r>
      <w:r>
        <w:rPr>
          <w:rFonts w:ascii="Times New Roman;serif" w:hAnsi="Times New Roman;serif"/>
          <w:b w:val="false"/>
          <w:color w:val="202124"/>
          <w:sz w:val="20"/>
        </w:rPr>
        <w:t xml:space="preserve">, compared to </w:t>
      </w:r>
      <w:r>
        <w:rPr>
          <w:rFonts w:ascii="Times New Roman;serif" w:hAnsi="Times New Roman;serif"/>
          <w:b w:val="false"/>
          <w:color w:val="000000"/>
          <w:sz w:val="20"/>
        </w:rPr>
        <w:t>$16.8 million</w:t>
      </w:r>
      <w:r>
        <w:rPr>
          <w:color w:val="202124"/>
        </w:rPr>
        <w:t xml:space="preserve"> </w:t>
      </w:r>
      <w:r>
        <w:rPr>
          <w:rFonts w:ascii="Times New Roman;serif" w:hAnsi="Times New Roman;serif"/>
          <w:b w:val="false"/>
          <w:color w:val="202124"/>
          <w:sz w:val="20"/>
        </w:rPr>
        <w:t xml:space="preserve">for the </w:t>
      </w:r>
      <w:r>
        <w:rPr>
          <w:rFonts w:ascii="Times New Roman;serif" w:hAnsi="Times New Roman;serif"/>
          <w:b w:val="false"/>
          <w:color w:val="000000"/>
          <w:sz w:val="20"/>
        </w:rPr>
        <w:t>three months ended June 30, 2025</w:t>
      </w:r>
      <w:r>
        <w:rPr>
          <w:rFonts w:ascii="Times New Roman;serif" w:hAnsi="Times New Roman;serif"/>
          <w:b w:val="false"/>
          <w:color w:val="202124"/>
          <w:sz w:val="20"/>
        </w:rPr>
        <w:t xml:space="preserve">. </w:t>
      </w:r>
      <w:r>
        <w:rPr>
          <w:rFonts w:ascii="Times New Roman;serif" w:hAnsi="Times New Roman;serif"/>
          <w:b w:val="false"/>
          <w:color w:val="000000"/>
          <w:sz w:val="20"/>
        </w:rPr>
        <w:t xml:space="preserve">The increase was due to the acquisition of Akoya, which added $9.3 million of product revenue. For the legacy Quanterix business, product revenue decreased $2.7 million primarily due to weaker demand from both academic and pharmaceutical customers as research grant funding remains constrained and research and development spending declined.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softness in instrument sales to continue during the remainder of 2026 as a result of what we believe is a constrained capital funding environment. As we implement the strategic changes to update our HD-X and improve our commercial execution, or as funding conditions improve, we anticipate a recovery in instrument demand. We also expect the continued uncertain macro-economic environment to cause fluctuations in consumables sales during the remainder of 2026. </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Service and other revenue increased $1.9 million, or 27%, to $9.0 million, for the three months ended June 30, 2026, compared to $7.1 million for the three months ended June 30, 2025. The increase was due to the acquisition of Akoya, which added $3.0 million of service and other revenue. For the legacy Quanterix business, service and other revenue decreased $1.0 million primarily due to lower volumes of sample testing and assay development services in our Accelerator Laboratory driven by reduced pipeline development. While we continue to see strong opportunities in the market, the uncertain macro-economic environment is expected to continue to drive fluctuations in Accelerator Laboratory revenue during the remainder of 2026. </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Cost of Goods Sold and Services</w:t>
      </w:r>
    </w:p>
    <w:p>
      <w:pPr>
        <w:pStyle w:val="TextBody"/>
        <w:bidi w:val="0"/>
        <w:spacing w:lineRule="auto" w:line="288" w:before="240" w:after="240"/>
        <w:ind w:left="0" w:right="0" w:firstLine="720"/>
        <w:jc w:val="left"/>
        <w:rPr/>
      </w:pPr>
      <w:r>
        <w:rPr>
          <w:rFonts w:ascii="Times New Roman;serif" w:hAnsi="Times New Roman;serif"/>
          <w:b w:val="false"/>
          <w:color w:val="202124"/>
          <w:sz w:val="20"/>
        </w:rPr>
        <w:t xml:space="preserve">Total cost of goods sold and services </w:t>
      </w:r>
      <w:r>
        <w:rPr>
          <w:rFonts w:ascii="Times New Roman;serif" w:hAnsi="Times New Roman;serif"/>
          <w:b w:val="false"/>
          <w:color w:val="000000"/>
          <w:sz w:val="20"/>
        </w:rPr>
        <w:t>increased $5.8 million</w:t>
      </w:r>
      <w:r>
        <w:rPr>
          <w:rFonts w:ascii="Times New Roman;serif" w:hAnsi="Times New Roman;serif"/>
          <w:b w:val="false"/>
          <w:color w:val="202124"/>
          <w:sz w:val="20"/>
        </w:rPr>
        <w:t xml:space="preserve">, or </w:t>
      </w:r>
      <w:r>
        <w:rPr>
          <w:rFonts w:ascii="Times New Roman;serif" w:hAnsi="Times New Roman;serif"/>
          <w:b w:val="false"/>
          <w:color w:val="000000"/>
          <w:sz w:val="20"/>
        </w:rPr>
        <w:t>40%</w:t>
      </w:r>
      <w:r>
        <w:rPr>
          <w:rFonts w:ascii="Times New Roman;serif" w:hAnsi="Times New Roman;serif"/>
          <w:b w:val="false"/>
          <w:color w:val="202124"/>
          <w:sz w:val="20"/>
        </w:rPr>
        <w:t xml:space="preserve">, to </w:t>
      </w:r>
      <w:r>
        <w:rPr>
          <w:rFonts w:ascii="Times New Roman;serif" w:hAnsi="Times New Roman;serif"/>
          <w:b w:val="false"/>
          <w:color w:val="000000"/>
          <w:sz w:val="20"/>
        </w:rPr>
        <w:t>$20.2 million</w:t>
      </w:r>
      <w:r>
        <w:rPr>
          <w:color w:val="202124"/>
        </w:rPr>
        <w:t xml:space="preserve"> </w:t>
      </w:r>
      <w:r>
        <w:rPr>
          <w:rFonts w:ascii="Times New Roman;serif" w:hAnsi="Times New Roman;serif"/>
          <w:b w:val="false"/>
          <w:color w:val="202124"/>
          <w:sz w:val="20"/>
        </w:rPr>
        <w:t xml:space="preserve">for the </w:t>
      </w:r>
      <w:r>
        <w:rPr>
          <w:rFonts w:ascii="Times New Roman;serif" w:hAnsi="Times New Roman;serif"/>
          <w:b w:val="false"/>
          <w:color w:val="000000"/>
          <w:sz w:val="20"/>
        </w:rPr>
        <w:t>three months ended June 30, 2026</w:t>
      </w:r>
      <w:r>
        <w:rPr>
          <w:rFonts w:ascii="Times New Roman;serif" w:hAnsi="Times New Roman;serif"/>
          <w:b w:val="false"/>
          <w:color w:val="202124"/>
          <w:sz w:val="20"/>
        </w:rPr>
        <w:t xml:space="preserve">, compared to </w:t>
      </w:r>
      <w:r>
        <w:rPr>
          <w:rFonts w:ascii="Times New Roman;serif" w:hAnsi="Times New Roman;serif"/>
          <w:b w:val="false"/>
          <w:color w:val="000000"/>
          <w:sz w:val="20"/>
        </w:rPr>
        <w:t>$14.5 million</w:t>
      </w:r>
      <w:r>
        <w:rPr>
          <w:color w:val="202124"/>
        </w:rPr>
        <w:t xml:space="preserve"> </w:t>
      </w:r>
      <w:r>
        <w:rPr>
          <w:rFonts w:ascii="Times New Roman;serif" w:hAnsi="Times New Roman;serif"/>
          <w:b w:val="false"/>
          <w:color w:val="202124"/>
          <w:sz w:val="20"/>
        </w:rPr>
        <w:t xml:space="preserve">for the </w:t>
      </w:r>
      <w:r>
        <w:rPr>
          <w:rFonts w:ascii="Times New Roman;serif" w:hAnsi="Times New Roman;serif"/>
          <w:b w:val="false"/>
          <w:color w:val="000000"/>
          <w:sz w:val="20"/>
        </w:rPr>
        <w:t>three months ended June 30, 2025</w:t>
      </w:r>
      <w:r>
        <w:rPr>
          <w:rFonts w:ascii="Times New Roman;serif" w:hAnsi="Times New Roman;serif"/>
          <w:b w:val="false"/>
          <w:color w:val="202124"/>
          <w:sz w:val="20"/>
        </w:rPr>
        <w:t>.</w:t>
      </w:r>
    </w:p>
    <w:p>
      <w:pPr>
        <w:pStyle w:val="TextBody"/>
        <w:bidi w:val="0"/>
        <w:spacing w:lineRule="auto" w:line="288" w:before="240" w:after="240"/>
        <w:ind w:left="0" w:right="0" w:firstLine="720"/>
        <w:jc w:val="left"/>
        <w:rPr/>
      </w:pPr>
      <w:r>
        <w:rPr>
          <w:rFonts w:ascii="Times New Roman;serif" w:hAnsi="Times New Roman;serif"/>
          <w:b w:val="false"/>
          <w:color w:val="202124"/>
          <w:sz w:val="20"/>
        </w:rPr>
        <w:t xml:space="preserve">Cost of product revenue </w:t>
      </w:r>
      <w:r>
        <w:rPr>
          <w:rFonts w:ascii="Times New Roman;serif" w:hAnsi="Times New Roman;serif"/>
          <w:b w:val="false"/>
          <w:color w:val="000000"/>
          <w:sz w:val="20"/>
        </w:rPr>
        <w:t>increased $4.0 million</w:t>
      </w:r>
      <w:r>
        <w:rPr>
          <w:rFonts w:ascii="Times New Roman;serif" w:hAnsi="Times New Roman;serif"/>
          <w:b w:val="false"/>
          <w:color w:val="202124"/>
          <w:sz w:val="20"/>
        </w:rPr>
        <w:t xml:space="preserve">, or </w:t>
      </w:r>
      <w:r>
        <w:rPr>
          <w:rFonts w:ascii="Times New Roman;serif" w:hAnsi="Times New Roman;serif"/>
          <w:b w:val="false"/>
          <w:color w:val="000000"/>
          <w:sz w:val="20"/>
        </w:rPr>
        <w:t>38%</w:t>
      </w:r>
      <w:r>
        <w:rPr>
          <w:rFonts w:ascii="Times New Roman;serif" w:hAnsi="Times New Roman;serif"/>
          <w:b w:val="false"/>
          <w:color w:val="202124"/>
          <w:sz w:val="20"/>
        </w:rPr>
        <w:t xml:space="preserve">, to </w:t>
      </w:r>
      <w:r>
        <w:rPr>
          <w:rFonts w:ascii="Times New Roman;serif" w:hAnsi="Times New Roman;serif"/>
          <w:b w:val="false"/>
          <w:color w:val="000000"/>
          <w:sz w:val="20"/>
        </w:rPr>
        <w:t>$14.6 million</w:t>
      </w:r>
      <w:r>
        <w:rPr>
          <w:color w:val="202124"/>
        </w:rPr>
        <w:t xml:space="preserve"> </w:t>
      </w:r>
      <w:r>
        <w:rPr>
          <w:rFonts w:ascii="Times New Roman;serif" w:hAnsi="Times New Roman;serif"/>
          <w:b w:val="false"/>
          <w:color w:val="202124"/>
          <w:sz w:val="20"/>
        </w:rPr>
        <w:t xml:space="preserve">for the </w:t>
      </w:r>
      <w:r>
        <w:rPr>
          <w:rFonts w:ascii="Times New Roman;serif" w:hAnsi="Times New Roman;serif"/>
          <w:b w:val="false"/>
          <w:color w:val="000000"/>
          <w:sz w:val="20"/>
        </w:rPr>
        <w:t>three months ended June 30, 2026</w:t>
      </w:r>
      <w:r>
        <w:rPr>
          <w:rFonts w:ascii="Times New Roman;serif" w:hAnsi="Times New Roman;serif"/>
          <w:b w:val="false"/>
          <w:color w:val="202124"/>
          <w:sz w:val="20"/>
        </w:rPr>
        <w:t xml:space="preserve">, compared to </w:t>
      </w:r>
      <w:r>
        <w:rPr>
          <w:rFonts w:ascii="Times New Roman;serif" w:hAnsi="Times New Roman;serif"/>
          <w:b w:val="false"/>
          <w:color w:val="000000"/>
          <w:sz w:val="20"/>
        </w:rPr>
        <w:t>$10.6 million</w:t>
      </w:r>
      <w:r>
        <w:rPr>
          <w:color w:val="202124"/>
        </w:rPr>
        <w:t xml:space="preserve"> </w:t>
      </w:r>
      <w:r>
        <w:rPr>
          <w:rFonts w:ascii="Times New Roman;serif" w:hAnsi="Times New Roman;serif"/>
          <w:b w:val="false"/>
          <w:color w:val="202124"/>
          <w:sz w:val="20"/>
        </w:rPr>
        <w:t xml:space="preserve">for the </w:t>
      </w:r>
      <w:r>
        <w:rPr>
          <w:rFonts w:ascii="Times New Roman;serif" w:hAnsi="Times New Roman;serif"/>
          <w:b w:val="false"/>
          <w:color w:val="000000"/>
          <w:sz w:val="20"/>
        </w:rPr>
        <w:t>three months ended June 30, 2025</w:t>
      </w:r>
      <w:r>
        <w:rPr>
          <w:rFonts w:ascii="Times New Roman;serif" w:hAnsi="Times New Roman;serif"/>
          <w:b w:val="false"/>
          <w:color w:val="202124"/>
          <w:sz w:val="20"/>
        </w:rPr>
        <w:t xml:space="preserve">. This </w:t>
      </w:r>
      <w:r>
        <w:rPr>
          <w:rFonts w:ascii="Times New Roman;serif" w:hAnsi="Times New Roman;serif"/>
          <w:b w:val="false"/>
          <w:color w:val="000000"/>
          <w:sz w:val="20"/>
        </w:rPr>
        <w:t>increase</w:t>
      </w:r>
      <w:r>
        <w:rPr>
          <w:color w:val="202124"/>
        </w:rPr>
        <w:t xml:space="preserve"> </w:t>
      </w:r>
      <w:r>
        <w:rPr>
          <w:rFonts w:ascii="Times New Roman;serif" w:hAnsi="Times New Roman;serif"/>
          <w:b w:val="false"/>
          <w:color w:val="202124"/>
          <w:sz w:val="20"/>
        </w:rPr>
        <w:t xml:space="preserve">was </w:t>
      </w:r>
      <w:r>
        <w:rPr>
          <w:rFonts w:ascii="Times New Roman;serif" w:hAnsi="Times New Roman;serif"/>
          <w:b w:val="false"/>
          <w:color w:val="000000"/>
          <w:sz w:val="20"/>
        </w:rPr>
        <w:t xml:space="preserve">due to the acquisition of Akoya, which added $5.1 million to cost of product revenue, including $2.9 million of amortization of acquired intangible assets. This increase was partially offset by a $1.1 million decrease in the legacy Quanterix business primarily related to reductions in headcount and related compensation and benefit costs from the May 2025 restructuring plan. </w:t>
      </w:r>
    </w:p>
    <w:p>
      <w:pPr>
        <w:pStyle w:val="TextBody"/>
        <w:bidi w:val="0"/>
        <w:spacing w:lineRule="auto" w:line="268" w:before="240" w:after="240"/>
        <w:ind w:left="0" w:right="0" w:firstLine="720"/>
        <w:jc w:val="left"/>
        <w:rPr/>
      </w:pPr>
      <w:r>
        <w:rPr>
          <w:rFonts w:ascii="Times New Roman;serif" w:hAnsi="Times New Roman;serif"/>
          <w:b w:val="false"/>
          <w:color w:val="202124"/>
          <w:sz w:val="20"/>
        </w:rPr>
        <w:t xml:space="preserve">Cost of service and other revenue </w:t>
      </w:r>
      <w:r>
        <w:rPr>
          <w:rFonts w:ascii="Times New Roman;serif" w:hAnsi="Times New Roman;serif"/>
          <w:b w:val="false"/>
          <w:color w:val="000000"/>
          <w:sz w:val="20"/>
        </w:rPr>
        <w:t>increased</w:t>
      </w:r>
      <w:r>
        <w:rPr>
          <w:color w:val="202124"/>
        </w:rPr>
        <w:t xml:space="preserve"> </w:t>
      </w:r>
      <w:r>
        <w:rPr>
          <w:rFonts w:ascii="Times New Roman;serif" w:hAnsi="Times New Roman;serif"/>
          <w:b w:val="false"/>
          <w:color w:val="000000"/>
          <w:sz w:val="20"/>
        </w:rPr>
        <w:t>$1.7 million, or 45%, to</w:t>
      </w:r>
      <w:r>
        <w:rPr>
          <w:color w:val="202124"/>
        </w:rPr>
        <w:t xml:space="preserve"> </w:t>
      </w:r>
      <w:r>
        <w:rPr>
          <w:rFonts w:ascii="Times New Roman;serif" w:hAnsi="Times New Roman;serif"/>
          <w:b w:val="false"/>
          <w:color w:val="000000"/>
          <w:sz w:val="20"/>
        </w:rPr>
        <w:t>$5.6 million</w:t>
      </w:r>
      <w:r>
        <w:rPr>
          <w:color w:val="202124"/>
        </w:rPr>
        <w:t xml:space="preserve"> </w:t>
      </w:r>
      <w:r>
        <w:rPr>
          <w:rFonts w:ascii="Times New Roman;serif" w:hAnsi="Times New Roman;serif"/>
          <w:b w:val="false"/>
          <w:color w:val="202124"/>
          <w:sz w:val="20"/>
        </w:rPr>
        <w:t xml:space="preserve">for the </w:t>
      </w:r>
      <w:r>
        <w:rPr>
          <w:rFonts w:ascii="Times New Roman;serif" w:hAnsi="Times New Roman;serif"/>
          <w:b w:val="false"/>
          <w:color w:val="000000"/>
          <w:sz w:val="20"/>
        </w:rPr>
        <w:t>three months ended June 30, 2026</w:t>
      </w:r>
      <w:r>
        <w:rPr>
          <w:rFonts w:ascii="Times New Roman;serif" w:hAnsi="Times New Roman;serif"/>
          <w:b w:val="false"/>
          <w:color w:val="202124"/>
          <w:sz w:val="20"/>
        </w:rPr>
        <w:t xml:space="preserve">, compared to </w:t>
      </w:r>
      <w:r>
        <w:rPr>
          <w:rFonts w:ascii="Times New Roman;serif" w:hAnsi="Times New Roman;serif"/>
          <w:b w:val="false"/>
          <w:color w:val="000000"/>
          <w:sz w:val="20"/>
        </w:rPr>
        <w:t xml:space="preserve">$3.9 million </w:t>
      </w:r>
      <w:r>
        <w:rPr>
          <w:rFonts w:ascii="Times New Roman;serif" w:hAnsi="Times New Roman;serif"/>
          <w:b w:val="false"/>
          <w:color w:val="202124"/>
          <w:sz w:val="20"/>
        </w:rPr>
        <w:t xml:space="preserve">for the </w:t>
      </w:r>
      <w:r>
        <w:rPr>
          <w:rFonts w:ascii="Times New Roman;serif" w:hAnsi="Times New Roman;serif"/>
          <w:b w:val="false"/>
          <w:color w:val="000000"/>
          <w:sz w:val="20"/>
        </w:rPr>
        <w:t xml:space="preserve">three months ended June 30, 2025. </w:t>
      </w:r>
      <w:r>
        <w:rPr>
          <w:rFonts w:ascii="Times New Roman;serif" w:hAnsi="Times New Roman;serif"/>
          <w:b w:val="false"/>
          <w:color w:val="202124"/>
          <w:sz w:val="20"/>
        </w:rPr>
        <w:t xml:space="preserve">This </w:t>
      </w:r>
      <w:r>
        <w:rPr>
          <w:rFonts w:ascii="Times New Roman;serif" w:hAnsi="Times New Roman;serif"/>
          <w:b w:val="false"/>
          <w:color w:val="000000"/>
          <w:sz w:val="20"/>
        </w:rPr>
        <w:t>increase</w:t>
      </w:r>
      <w:r>
        <w:rPr>
          <w:color w:val="202124"/>
        </w:rPr>
        <w:t xml:space="preserve"> </w:t>
      </w:r>
      <w:r>
        <w:rPr>
          <w:rFonts w:ascii="Times New Roman;serif" w:hAnsi="Times New Roman;serif"/>
          <w:b w:val="false"/>
          <w:color w:val="202124"/>
          <w:sz w:val="20"/>
        </w:rPr>
        <w:t xml:space="preserve">was primarily </w:t>
      </w:r>
      <w:r>
        <w:rPr>
          <w:rFonts w:ascii="Times New Roman;serif" w:hAnsi="Times New Roman;serif"/>
          <w:b w:val="false"/>
          <w:color w:val="000000"/>
          <w:sz w:val="20"/>
        </w:rPr>
        <w:t xml:space="preserve">due to the acquisition of Akoya, which added $1.2 million to cost of service and other revenue. </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decreased $1.3 million, or 14%, to $7.8 million for the three months ended June 30, 2026, compared to $9.1 million for the three months ended June 30, 2025. The decrease was primarily due to a $1.9 million decrease from a non-recurring contingent payment arrangement in 2025 associated with the acquisition of Emission and was partially offset by the research and development expenses added from the acquisition of Akoya.</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continued investment in research and development is essential to our long-term competitive position and we expect to maintain research and development expense at a more consistent level period to period in the future.</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 decreased $3.0 million, or 10%, to $27.4 million for the three months ended June 30, 2026, compared to $30.4 million for the three months ended June 30, 2025. </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was primarily due to (1) a $4.0 million decrease in due diligence and other acquisition costs related to the acquisitions of Akoya and Emission in 2025, (2) a $2.6 million decrease in headcount and related compensation and benefit costs from the May 2025 restructuring plan and changes in our executive team, and (3) a $1.9 million decrease from a non-recurring contingent payment arrangement in 2025 associated with the acquisition of Emission. These decreases were partially offset by (1) a $1.1 million increase in consulting fees related to strategic initiatives and corporate matters, (2) a $1.0 million increase in professional services and technology integration costs, and (3) the selling, general and administrative expenses added from the acquisition of Akoya.</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expect selling, general and administrative expenses in future periods to change at the same rate as total revenue or research and development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Impairment and Restructuring Costs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recorded an impairment charge of $26.9 million during the three months ended June 30, 2026 related to impairment of the remaining goodwill from the acquisition of Akoya. During the three months ended June 30, 2025, we recorded impairment and restructuring costs of $7.7 million relating to a goodwill impairment charge and severance and related benefit expenses from the May 2025 restructuring plan.</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 xml:space="preserve">Interest Income </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decreased $1.9 million, or 72%, to $0.8 million during the three months ended June 30, 2026, compared to $2.7 million for the three months ended June 30, 2025. The decrease was primarily due to lower interest rates and a lower balance of cash, cash equivalents, and marketable securities.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Change in Fair Value of Contingent Liabilities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fair value of contingent liabilities was a loss of $0.1 million for the three months ended June 30, 2026 as compared to income of $4.3 million for the three months ended June 30, 2025. The change was driven by the achievement of certain performance targets and updates to the valuation inputs. The contingent arrangements relate to the acquisition of Emission and the assumption of Akoya's contingent liability from its acquisition of the Quantitative Pathology Solutions division of PerkinElmer, Inc. in 2018.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Comparison of Results of Operations for the Six Months Ended June 30, 2026 and 2025:</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select Consolidated Statements of Operations data, and such data as a percentage of total revenues (in thousands, except percentages):</w:t>
      </w:r>
    </w:p>
    <w:tbl>
      <w:tblPr>
        <w:tblW w:w="10205" w:type="dxa"/>
        <w:jc w:val="left"/>
        <w:tblInd w:w="0" w:type="dxa"/>
        <w:tblLayout w:type="fixed"/>
        <w:tblCellMar>
          <w:top w:w="28" w:type="dxa"/>
          <w:left w:w="28" w:type="dxa"/>
          <w:bottom w:w="28" w:type="dxa"/>
          <w:right w:w="28" w:type="dxa"/>
        </w:tblCellMar>
      </w:tblPr>
      <w:tblGrid>
        <w:gridCol w:w="976"/>
        <w:gridCol w:w="666"/>
        <w:gridCol w:w="671"/>
        <w:gridCol w:w="211"/>
        <w:gridCol w:w="761"/>
        <w:gridCol w:w="109"/>
        <w:gridCol w:w="109"/>
        <w:gridCol w:w="109"/>
        <w:gridCol w:w="109"/>
        <w:gridCol w:w="249"/>
        <w:gridCol w:w="230"/>
        <w:gridCol w:w="495"/>
        <w:gridCol w:w="109"/>
        <w:gridCol w:w="109"/>
        <w:gridCol w:w="109"/>
        <w:gridCol w:w="211"/>
        <w:gridCol w:w="761"/>
        <w:gridCol w:w="109"/>
        <w:gridCol w:w="109"/>
        <w:gridCol w:w="109"/>
        <w:gridCol w:w="109"/>
        <w:gridCol w:w="257"/>
        <w:gridCol w:w="247"/>
        <w:gridCol w:w="495"/>
        <w:gridCol w:w="109"/>
        <w:gridCol w:w="109"/>
        <w:gridCol w:w="109"/>
        <w:gridCol w:w="211"/>
        <w:gridCol w:w="761"/>
        <w:gridCol w:w="109"/>
        <w:gridCol w:w="109"/>
        <w:gridCol w:w="109"/>
        <w:gridCol w:w="109"/>
        <w:gridCol w:w="357"/>
        <w:gridCol w:w="364"/>
        <w:gridCol w:w="320"/>
      </w:tblGrid>
      <w:tr>
        <w:trPr/>
        <w:tc>
          <w:tcPr>
            <w:tcW w:w="97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2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and other revenue</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license revenue</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goods sold and services: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and other revenue</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of goods sold and services</w:t>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4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and restructuring costs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liabilities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19,513 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(66,475)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4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(13,486)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40" w:after="240"/>
        <w:ind w:left="0" w:right="0" w:firstLine="720"/>
        <w:jc w:val="left"/>
        <w:rPr/>
      </w:pPr>
      <w:r>
        <w:rPr>
          <w:rFonts w:ascii="Times New Roman;serif" w:hAnsi="Times New Roman;serif"/>
          <w:b w:val="false"/>
          <w:color w:val="000000"/>
          <w:sz w:val="20"/>
        </w:rPr>
        <w:t xml:space="preserve">Total revenues increased $14.5 million, or 26%, to $69.3 million for the six months ended June 30, 2026, compared to $54.8 million for the six months ended June 30, 2025. </w:t>
      </w:r>
      <w:r>
        <w:rPr>
          <w:rFonts w:ascii="Times New Roman;serif" w:hAnsi="Times New Roman;serif"/>
          <w:b w:val="false"/>
          <w:color w:val="202124"/>
          <w:sz w:val="20"/>
        </w:rPr>
        <w:t xml:space="preserve">For the </w:t>
      </w:r>
      <w:r>
        <w:rPr>
          <w:rFonts w:ascii="Times New Roman;serif" w:hAnsi="Times New Roman;serif"/>
          <w:b w:val="false"/>
          <w:color w:val="000000"/>
          <w:sz w:val="20"/>
        </w:rPr>
        <w:t xml:space="preserve">six months ended June 30, 2026, product revenue consisted of instrument sales of $7.8 million and sales of consumables and other products of $41.2 million. </w:t>
      </w:r>
    </w:p>
    <w:p>
      <w:pPr>
        <w:pStyle w:val="TextBody"/>
        <w:bidi w:val="0"/>
        <w:spacing w:lineRule="auto" w:line="288" w:before="240" w:after="240"/>
        <w:ind w:left="0" w:right="0" w:firstLine="720"/>
        <w:jc w:val="left"/>
        <w:rPr/>
      </w:pPr>
      <w:r>
        <w:rPr>
          <w:rFonts w:ascii="Times New Roman;serif" w:hAnsi="Times New Roman;serif"/>
          <w:b w:val="false"/>
          <w:color w:val="202124"/>
          <w:sz w:val="20"/>
        </w:rPr>
        <w:t xml:space="preserve">Product revenue </w:t>
      </w:r>
      <w:r>
        <w:rPr>
          <w:rFonts w:ascii="Times New Roman;serif" w:hAnsi="Times New Roman;serif"/>
          <w:b w:val="false"/>
          <w:color w:val="000000"/>
          <w:sz w:val="20"/>
        </w:rPr>
        <w:t>increased $11.4 million</w:t>
      </w:r>
      <w:r>
        <w:rPr>
          <w:rFonts w:ascii="Times New Roman;serif" w:hAnsi="Times New Roman;serif"/>
          <w:b w:val="false"/>
          <w:color w:val="202124"/>
          <w:sz w:val="20"/>
        </w:rPr>
        <w:t xml:space="preserve">, or </w:t>
      </w:r>
      <w:r>
        <w:rPr>
          <w:rFonts w:ascii="Times New Roman;serif" w:hAnsi="Times New Roman;serif"/>
          <w:b w:val="false"/>
          <w:color w:val="000000"/>
          <w:sz w:val="20"/>
        </w:rPr>
        <w:t>30%</w:t>
      </w:r>
      <w:r>
        <w:rPr>
          <w:rFonts w:ascii="Times New Roman;serif" w:hAnsi="Times New Roman;serif"/>
          <w:b w:val="false"/>
          <w:color w:val="202124"/>
          <w:sz w:val="20"/>
        </w:rPr>
        <w:t xml:space="preserve">, to </w:t>
      </w:r>
      <w:r>
        <w:rPr>
          <w:rFonts w:ascii="Times New Roman;serif" w:hAnsi="Times New Roman;serif"/>
          <w:b w:val="false"/>
          <w:color w:val="000000"/>
          <w:sz w:val="20"/>
        </w:rPr>
        <w:t>$49.0 million</w:t>
      </w:r>
      <w:r>
        <w:rPr>
          <w:color w:val="202124"/>
        </w:rPr>
        <w:t xml:space="preserve"> </w:t>
      </w:r>
      <w:r>
        <w:rPr>
          <w:rFonts w:ascii="Times New Roman;serif" w:hAnsi="Times New Roman;serif"/>
          <w:b w:val="false"/>
          <w:color w:val="202124"/>
          <w:sz w:val="20"/>
        </w:rPr>
        <w:t xml:space="preserve">for the </w:t>
      </w:r>
      <w:r>
        <w:rPr>
          <w:rFonts w:ascii="Times New Roman;serif" w:hAnsi="Times New Roman;serif"/>
          <w:b w:val="false"/>
          <w:color w:val="000000"/>
          <w:sz w:val="20"/>
        </w:rPr>
        <w:t>six months ended June 30, 2026</w:t>
      </w:r>
      <w:r>
        <w:rPr>
          <w:rFonts w:ascii="Times New Roman;serif" w:hAnsi="Times New Roman;serif"/>
          <w:b w:val="false"/>
          <w:color w:val="202124"/>
          <w:sz w:val="20"/>
        </w:rPr>
        <w:t xml:space="preserve">, compared to </w:t>
      </w:r>
      <w:r>
        <w:rPr>
          <w:rFonts w:ascii="Times New Roman;serif" w:hAnsi="Times New Roman;serif"/>
          <w:b w:val="false"/>
          <w:color w:val="000000"/>
          <w:sz w:val="20"/>
        </w:rPr>
        <w:t>$37.6 million</w:t>
      </w:r>
      <w:r>
        <w:rPr>
          <w:color w:val="202124"/>
        </w:rPr>
        <w:t xml:space="preserve"> </w:t>
      </w:r>
      <w:r>
        <w:rPr>
          <w:rFonts w:ascii="Times New Roman;serif" w:hAnsi="Times New Roman;serif"/>
          <w:b w:val="false"/>
          <w:color w:val="202124"/>
          <w:sz w:val="20"/>
        </w:rPr>
        <w:t xml:space="preserve">for the </w:t>
      </w:r>
      <w:r>
        <w:rPr>
          <w:rFonts w:ascii="Times New Roman;serif" w:hAnsi="Times New Roman;serif"/>
          <w:b w:val="false"/>
          <w:color w:val="000000"/>
          <w:sz w:val="20"/>
        </w:rPr>
        <w:t>six months ended June 30, 2025</w:t>
      </w:r>
      <w:r>
        <w:rPr>
          <w:rFonts w:ascii="Times New Roman;serif" w:hAnsi="Times New Roman;serif"/>
          <w:b w:val="false"/>
          <w:color w:val="202124"/>
          <w:sz w:val="20"/>
        </w:rPr>
        <w:t>.</w:t>
      </w:r>
      <w:r>
        <w:rPr>
          <w:color w:val="000000"/>
        </w:rPr>
        <w:t xml:space="preserve"> </w:t>
      </w:r>
      <w:r>
        <w:rPr>
          <w:rFonts w:ascii="Times New Roman;serif" w:hAnsi="Times New Roman;serif"/>
          <w:b w:val="false"/>
          <w:color w:val="000000"/>
          <w:sz w:val="20"/>
        </w:rPr>
        <w:t>The increase was due to the acquisition of Akoya, which added $18.0 million of product revenue. For the legacy Quanterix business, product revenue decreased $6.7 million primarily due to weaker demand from both academic and pharmaceutical customers as research grant funding remains constrained and research and development spending declined.</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Service and other revenue increased $3.5 million, or 22%, to $19.4 million, for the six months ended June 30, 2026, compared to $15.9 million for the six months ended June 30, 2025. The increase was due to the acquisition of Akoya, which added $6.7 million of service and other revenue. For the legacy Quanterix business, service and other revenue decreased $3.2 million primarily due to lower volumes of sample testing and assay development services in our Accelerator Laboratory driven by reduced pipeline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Cost of Goods Sold and Services</w:t>
      </w:r>
    </w:p>
    <w:p>
      <w:pPr>
        <w:pStyle w:val="TextBody"/>
        <w:bidi w:val="0"/>
        <w:spacing w:lineRule="auto" w:line="288" w:before="240" w:after="240"/>
        <w:ind w:left="0" w:right="0" w:firstLine="720"/>
        <w:jc w:val="left"/>
        <w:rPr/>
      </w:pPr>
      <w:r>
        <w:rPr>
          <w:rFonts w:ascii="Times New Roman;serif" w:hAnsi="Times New Roman;serif"/>
          <w:b w:val="false"/>
          <w:color w:val="202124"/>
          <w:sz w:val="20"/>
        </w:rPr>
        <w:t xml:space="preserve">Total cost of goods sold and services </w:t>
      </w:r>
      <w:r>
        <w:rPr>
          <w:rFonts w:ascii="Times New Roman;serif" w:hAnsi="Times New Roman;serif"/>
          <w:b w:val="false"/>
          <w:color w:val="000000"/>
          <w:sz w:val="20"/>
        </w:rPr>
        <w:t>increased</w:t>
      </w:r>
      <w:r>
        <w:rPr>
          <w:color w:val="202124"/>
        </w:rPr>
        <w:t xml:space="preserve"> </w:t>
      </w:r>
      <w:r>
        <w:rPr>
          <w:rFonts w:ascii="Times New Roman;serif" w:hAnsi="Times New Roman;serif"/>
          <w:b w:val="false"/>
          <w:color w:val="000000"/>
          <w:sz w:val="20"/>
        </w:rPr>
        <w:t>$11.1 million</w:t>
      </w:r>
      <w:r>
        <w:rPr>
          <w:rFonts w:ascii="Times New Roman;serif" w:hAnsi="Times New Roman;serif"/>
          <w:b w:val="false"/>
          <w:color w:val="202124"/>
          <w:sz w:val="20"/>
        </w:rPr>
        <w:t xml:space="preserve">, or </w:t>
      </w:r>
      <w:r>
        <w:rPr>
          <w:rFonts w:ascii="Times New Roman;serif" w:hAnsi="Times New Roman;serif"/>
          <w:b w:val="false"/>
          <w:color w:val="000000"/>
          <w:sz w:val="20"/>
        </w:rPr>
        <w:t>37%</w:t>
      </w:r>
      <w:r>
        <w:rPr>
          <w:rFonts w:ascii="Times New Roman;serif" w:hAnsi="Times New Roman;serif"/>
          <w:b w:val="false"/>
          <w:color w:val="202124"/>
          <w:sz w:val="20"/>
        </w:rPr>
        <w:t xml:space="preserve">, to </w:t>
      </w:r>
      <w:r>
        <w:rPr>
          <w:rFonts w:ascii="Times New Roman;serif" w:hAnsi="Times New Roman;serif"/>
          <w:b w:val="false"/>
          <w:color w:val="000000"/>
          <w:sz w:val="20"/>
        </w:rPr>
        <w:t>$41.1 million</w:t>
      </w:r>
      <w:r>
        <w:rPr>
          <w:color w:val="202124"/>
        </w:rPr>
        <w:t xml:space="preserve"> </w:t>
      </w:r>
      <w:r>
        <w:rPr>
          <w:rFonts w:ascii="Times New Roman;serif" w:hAnsi="Times New Roman;serif"/>
          <w:b w:val="false"/>
          <w:color w:val="202124"/>
          <w:sz w:val="20"/>
        </w:rPr>
        <w:t xml:space="preserve">for the </w:t>
      </w:r>
      <w:r>
        <w:rPr>
          <w:rFonts w:ascii="Times New Roman;serif" w:hAnsi="Times New Roman;serif"/>
          <w:b w:val="false"/>
          <w:color w:val="000000"/>
          <w:sz w:val="20"/>
        </w:rPr>
        <w:t>six months ended June 30, 2026</w:t>
      </w:r>
      <w:r>
        <w:rPr>
          <w:rFonts w:ascii="Times New Roman;serif" w:hAnsi="Times New Roman;serif"/>
          <w:b w:val="false"/>
          <w:color w:val="202124"/>
          <w:sz w:val="20"/>
        </w:rPr>
        <w:t xml:space="preserve">, compared to </w:t>
      </w:r>
      <w:r>
        <w:rPr>
          <w:rFonts w:ascii="Times New Roman;serif" w:hAnsi="Times New Roman;serif"/>
          <w:b w:val="false"/>
          <w:color w:val="000000"/>
          <w:sz w:val="20"/>
        </w:rPr>
        <w:t>$30.0 million</w:t>
      </w:r>
      <w:r>
        <w:rPr>
          <w:color w:val="202124"/>
        </w:rPr>
        <w:t xml:space="preserve"> </w:t>
      </w:r>
      <w:r>
        <w:rPr>
          <w:rFonts w:ascii="Times New Roman;serif" w:hAnsi="Times New Roman;serif"/>
          <w:b w:val="false"/>
          <w:color w:val="202124"/>
          <w:sz w:val="20"/>
        </w:rPr>
        <w:t xml:space="preserve">for the </w:t>
      </w:r>
      <w:r>
        <w:rPr>
          <w:rFonts w:ascii="Times New Roman;serif" w:hAnsi="Times New Roman;serif"/>
          <w:b w:val="false"/>
          <w:color w:val="000000"/>
          <w:sz w:val="20"/>
        </w:rPr>
        <w:t>six months ended June 30, 2025</w:t>
      </w:r>
      <w:r>
        <w:rPr>
          <w:rFonts w:ascii="Times New Roman;serif" w:hAnsi="Times New Roman;serif"/>
          <w:b w:val="false"/>
          <w:color w:val="202124"/>
          <w:sz w:val="20"/>
        </w:rPr>
        <w:t>.</w:t>
      </w:r>
    </w:p>
    <w:p>
      <w:pPr>
        <w:pStyle w:val="TextBody"/>
        <w:bidi w:val="0"/>
        <w:spacing w:lineRule="auto" w:line="288" w:before="240" w:after="240"/>
        <w:ind w:left="0" w:right="0" w:firstLine="720"/>
        <w:jc w:val="left"/>
        <w:rPr/>
      </w:pPr>
      <w:r>
        <w:rPr>
          <w:rFonts w:ascii="Times New Roman;serif" w:hAnsi="Times New Roman;serif"/>
          <w:b w:val="false"/>
          <w:color w:val="202124"/>
          <w:sz w:val="20"/>
        </w:rPr>
        <w:t xml:space="preserve">Cost of product revenue </w:t>
      </w:r>
      <w:r>
        <w:rPr>
          <w:rFonts w:ascii="Times New Roman;serif" w:hAnsi="Times New Roman;serif"/>
          <w:b w:val="false"/>
          <w:color w:val="000000"/>
          <w:sz w:val="20"/>
        </w:rPr>
        <w:t>increased $7.8 million</w:t>
      </w:r>
      <w:r>
        <w:rPr>
          <w:rFonts w:ascii="Times New Roman;serif" w:hAnsi="Times New Roman;serif"/>
          <w:b w:val="false"/>
          <w:color w:val="202124"/>
          <w:sz w:val="20"/>
        </w:rPr>
        <w:t xml:space="preserve">, or </w:t>
      </w:r>
      <w:r>
        <w:rPr>
          <w:rFonts w:ascii="Times New Roman;serif" w:hAnsi="Times New Roman;serif"/>
          <w:b w:val="false"/>
          <w:color w:val="000000"/>
          <w:sz w:val="20"/>
        </w:rPr>
        <w:t>36%</w:t>
      </w:r>
      <w:r>
        <w:rPr>
          <w:rFonts w:ascii="Times New Roman;serif" w:hAnsi="Times New Roman;serif"/>
          <w:b w:val="false"/>
          <w:color w:val="202124"/>
          <w:sz w:val="20"/>
        </w:rPr>
        <w:t xml:space="preserve">, to </w:t>
      </w:r>
      <w:r>
        <w:rPr>
          <w:rFonts w:ascii="Times New Roman;serif" w:hAnsi="Times New Roman;serif"/>
          <w:b w:val="false"/>
          <w:color w:val="000000"/>
          <w:sz w:val="20"/>
        </w:rPr>
        <w:t>$29.8 million</w:t>
      </w:r>
      <w:r>
        <w:rPr>
          <w:color w:val="202124"/>
        </w:rPr>
        <w:t xml:space="preserve"> </w:t>
      </w:r>
      <w:r>
        <w:rPr>
          <w:rFonts w:ascii="Times New Roman;serif" w:hAnsi="Times New Roman;serif"/>
          <w:b w:val="false"/>
          <w:color w:val="202124"/>
          <w:sz w:val="20"/>
        </w:rPr>
        <w:t xml:space="preserve">for the </w:t>
      </w:r>
      <w:r>
        <w:rPr>
          <w:rFonts w:ascii="Times New Roman;serif" w:hAnsi="Times New Roman;serif"/>
          <w:b w:val="false"/>
          <w:color w:val="000000"/>
          <w:sz w:val="20"/>
        </w:rPr>
        <w:t>six months ended June 30, 2026</w:t>
      </w:r>
      <w:r>
        <w:rPr>
          <w:rFonts w:ascii="Times New Roman;serif" w:hAnsi="Times New Roman;serif"/>
          <w:b w:val="false"/>
          <w:color w:val="202124"/>
          <w:sz w:val="20"/>
        </w:rPr>
        <w:t xml:space="preserve">, compared to </w:t>
      </w:r>
      <w:r>
        <w:rPr>
          <w:rFonts w:ascii="Times New Roman;serif" w:hAnsi="Times New Roman;serif"/>
          <w:b w:val="false"/>
          <w:color w:val="000000"/>
          <w:sz w:val="20"/>
        </w:rPr>
        <w:t>$21.9 million</w:t>
      </w:r>
      <w:r>
        <w:rPr>
          <w:color w:val="202124"/>
        </w:rPr>
        <w:t xml:space="preserve"> </w:t>
      </w:r>
      <w:r>
        <w:rPr>
          <w:rFonts w:ascii="Times New Roman;serif" w:hAnsi="Times New Roman;serif"/>
          <w:b w:val="false"/>
          <w:color w:val="202124"/>
          <w:sz w:val="20"/>
        </w:rPr>
        <w:t xml:space="preserve">for the </w:t>
      </w:r>
      <w:r>
        <w:rPr>
          <w:rFonts w:ascii="Times New Roman;serif" w:hAnsi="Times New Roman;serif"/>
          <w:b w:val="false"/>
          <w:color w:val="000000"/>
          <w:sz w:val="20"/>
        </w:rPr>
        <w:t>six months ended June 30, 2025</w:t>
      </w:r>
      <w:r>
        <w:rPr>
          <w:rFonts w:ascii="Times New Roman;serif" w:hAnsi="Times New Roman;serif"/>
          <w:b w:val="false"/>
          <w:color w:val="202124"/>
          <w:sz w:val="20"/>
        </w:rPr>
        <w:t xml:space="preserve">. This </w:t>
      </w:r>
      <w:r>
        <w:rPr>
          <w:rFonts w:ascii="Times New Roman;serif" w:hAnsi="Times New Roman;serif"/>
          <w:b w:val="false"/>
          <w:color w:val="000000"/>
          <w:sz w:val="20"/>
        </w:rPr>
        <w:t>increase</w:t>
      </w:r>
      <w:r>
        <w:rPr>
          <w:color w:val="202124"/>
        </w:rPr>
        <w:t xml:space="preserve"> </w:t>
      </w:r>
      <w:r>
        <w:rPr>
          <w:rFonts w:ascii="Times New Roman;serif" w:hAnsi="Times New Roman;serif"/>
          <w:b w:val="false"/>
          <w:color w:val="202124"/>
          <w:sz w:val="20"/>
        </w:rPr>
        <w:t>was due</w:t>
      </w:r>
      <w:r>
        <w:rPr>
          <w:color w:val="000000"/>
        </w:rPr>
        <w:t xml:space="preserve"> </w:t>
      </w:r>
      <w:r>
        <w:rPr>
          <w:rFonts w:ascii="Times New Roman;serif" w:hAnsi="Times New Roman;serif"/>
          <w:b w:val="false"/>
          <w:color w:val="000000"/>
          <w:sz w:val="20"/>
        </w:rPr>
        <w:t xml:space="preserve">to the acquisition of Akoya, which added $10.3 million to cost of product revenue, including $5.6 million of amortization of acquired intangible assets. This increase was partially offset by a $1.2 million decrease in the legacy Quanterix business primarily related to reductions in headcount and related compensation and benefit costs from the May 2025 restructuring plan and lower product sales. </w:t>
      </w:r>
    </w:p>
    <w:p>
      <w:pPr>
        <w:pStyle w:val="TextBody"/>
        <w:bidi w:val="0"/>
        <w:spacing w:lineRule="auto" w:line="288" w:before="240" w:after="240"/>
        <w:ind w:left="0" w:right="0" w:firstLine="720"/>
        <w:jc w:val="left"/>
        <w:rPr/>
      </w:pPr>
      <w:r>
        <w:rPr>
          <w:rFonts w:ascii="Times New Roman;serif" w:hAnsi="Times New Roman;serif"/>
          <w:b w:val="false"/>
          <w:color w:val="202124"/>
          <w:sz w:val="20"/>
        </w:rPr>
        <w:t xml:space="preserve">Cost of service and other revenue </w:t>
      </w:r>
      <w:r>
        <w:rPr>
          <w:rFonts w:ascii="Times New Roman;serif" w:hAnsi="Times New Roman;serif"/>
          <w:b w:val="false"/>
          <w:color w:val="000000"/>
          <w:sz w:val="20"/>
        </w:rPr>
        <w:t>increased $3.3 million</w:t>
      </w:r>
      <w:r>
        <w:rPr>
          <w:rFonts w:ascii="Times New Roman;serif" w:hAnsi="Times New Roman;serif"/>
          <w:b w:val="false"/>
          <w:color w:val="202124"/>
          <w:sz w:val="20"/>
        </w:rPr>
        <w:t xml:space="preserve">, or </w:t>
      </w:r>
      <w:r>
        <w:rPr>
          <w:rFonts w:ascii="Times New Roman;serif" w:hAnsi="Times New Roman;serif"/>
          <w:b w:val="false"/>
          <w:color w:val="000000"/>
          <w:sz w:val="20"/>
        </w:rPr>
        <w:t>41%</w:t>
      </w:r>
      <w:r>
        <w:rPr>
          <w:rFonts w:ascii="Times New Roman;serif" w:hAnsi="Times New Roman;serif"/>
          <w:b w:val="false"/>
          <w:color w:val="202124"/>
          <w:sz w:val="20"/>
        </w:rPr>
        <w:t xml:space="preserve">, to </w:t>
      </w:r>
      <w:r>
        <w:rPr>
          <w:rFonts w:ascii="Times New Roman;serif" w:hAnsi="Times New Roman;serif"/>
          <w:b w:val="false"/>
          <w:color w:val="000000"/>
          <w:sz w:val="20"/>
        </w:rPr>
        <w:t>$11.3 million</w:t>
      </w:r>
      <w:r>
        <w:rPr>
          <w:color w:val="202124"/>
        </w:rPr>
        <w:t xml:space="preserve"> </w:t>
      </w:r>
      <w:r>
        <w:rPr>
          <w:rFonts w:ascii="Times New Roman;serif" w:hAnsi="Times New Roman;serif"/>
          <w:b w:val="false"/>
          <w:color w:val="202124"/>
          <w:sz w:val="20"/>
        </w:rPr>
        <w:t xml:space="preserve">for the </w:t>
      </w:r>
      <w:r>
        <w:rPr>
          <w:rFonts w:ascii="Times New Roman;serif" w:hAnsi="Times New Roman;serif"/>
          <w:b w:val="false"/>
          <w:color w:val="000000"/>
          <w:sz w:val="20"/>
        </w:rPr>
        <w:t>six months ended June 30, 2026</w:t>
      </w:r>
      <w:r>
        <w:rPr>
          <w:rFonts w:ascii="Times New Roman;serif" w:hAnsi="Times New Roman;serif"/>
          <w:b w:val="false"/>
          <w:color w:val="202124"/>
          <w:sz w:val="20"/>
        </w:rPr>
        <w:t xml:space="preserve">, compared to </w:t>
      </w:r>
      <w:r>
        <w:rPr>
          <w:rFonts w:ascii="Times New Roman;serif" w:hAnsi="Times New Roman;serif"/>
          <w:b w:val="false"/>
          <w:color w:val="000000"/>
          <w:sz w:val="20"/>
        </w:rPr>
        <w:t>$8.0 million</w:t>
      </w:r>
      <w:r>
        <w:rPr>
          <w:color w:val="202124"/>
        </w:rPr>
        <w:t xml:space="preserve"> </w:t>
      </w:r>
      <w:r>
        <w:rPr>
          <w:rFonts w:ascii="Times New Roman;serif" w:hAnsi="Times New Roman;serif"/>
          <w:b w:val="false"/>
          <w:color w:val="202124"/>
          <w:sz w:val="20"/>
        </w:rPr>
        <w:t xml:space="preserve">for the </w:t>
      </w:r>
      <w:r>
        <w:rPr>
          <w:rFonts w:ascii="Times New Roman;serif" w:hAnsi="Times New Roman;serif"/>
          <w:b w:val="false"/>
          <w:color w:val="000000"/>
          <w:sz w:val="20"/>
        </w:rPr>
        <w:t>six months ended June 30, 2025</w:t>
      </w:r>
      <w:r>
        <w:rPr>
          <w:rFonts w:ascii="Times New Roman;serif" w:hAnsi="Times New Roman;serif"/>
          <w:b w:val="false"/>
          <w:color w:val="202124"/>
          <w:sz w:val="20"/>
        </w:rPr>
        <w:t xml:space="preserve">. This </w:t>
      </w:r>
      <w:r>
        <w:rPr>
          <w:rFonts w:ascii="Times New Roman;serif" w:hAnsi="Times New Roman;serif"/>
          <w:b w:val="false"/>
          <w:color w:val="000000"/>
          <w:sz w:val="20"/>
        </w:rPr>
        <w:t>increase</w:t>
      </w:r>
      <w:r>
        <w:rPr>
          <w:color w:val="202124"/>
        </w:rPr>
        <w:t xml:space="preserve"> </w:t>
      </w:r>
      <w:r>
        <w:rPr>
          <w:rFonts w:ascii="Times New Roman;serif" w:hAnsi="Times New Roman;serif"/>
          <w:b w:val="false"/>
          <w:color w:val="000000"/>
          <w:sz w:val="20"/>
        </w:rPr>
        <w:t xml:space="preserve">was primarily due to the acquisition of Akoya, which added $2.3 million to cost of service and other revenue.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decreased $4.0 million, or 21%, to $15.1 million for the six months ended June 30, 2026, compared to $19.1 million for the six months ended June 30, 2025. The $4.0 million decrease was primarily due to a $4.0 million decrease from a non-recurring contingent payment arrangement in 2025 associated with the acquisition of Emission and a $2.1 million decrease in headcount and related compensation and benefit costs from the May 2025 restructuring plan. These decreases were partially offset by the research and development expenses added from the acquisition of Akoya.</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decreased $4.4 million, or 7%, to $57.1 million for the six months ended June 30, 2026, compared to $61.5 million for the six months ended June 30, 2025.</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was primarily due to the legacy Quanterix business resulting from (1) a $7.2 million decrease in due diligence and other acquisition costs related to the acquisitions of Akoya and Emission in 2025, (2) a $3.9 million decrease from a non-recurring contingent payment arrangement in 2025 associated with the acquisition of Emission, (3) a $2.8 million decrease in headcount and related compensation and benefit costs from the May 2025 restructuring plan, and (4) a $1.9 million decrease in consulting and professional services fees. These decreases were partially offset by the selling, general and administrative expenses added from the acquisition of Akoya. </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Impairment and Restructuring Costs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recorded impairment and restructuring costs of $46.8 million during the six months ended June 30, 2026 primarily related to impairments of the remaining goodwill from the acquisition of Akoya and an in process research and development intangible asset. During the six months ended June 30, 2025, we recorded impairment and restructuring costs of $7.7 million relating to a goodwill impairment charge and severance and related benefit expenses from the May 2025 restructuring plan. </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 xml:space="preserve">Interest Income </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decreased $4.3 million, or 72%, to $1.7 million for the six months ended June 30, 2026, compared to $6.0 million for the six months ended June 30, 2025. The decrease in fair value was primarily due to lower interest rates and a lower balance of cash, cash equivalents, and marketable securities.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Change in Fair Value of Contingent Liabilities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fair value of contingent liabilities was income of $1.4 million for the six months ended June 30, 2026, compared to income of $3.9 million for the six months ended June 30, 2025. The change was driven by the achievement of certain performance targets and updates to the valuation inputs. The contingent arrangements relate to the Emission acquisition that closed in the first quarter of 2025 and the assumption of Akoya's contingent liability from its acquisition of the Quantitative Pathology Solutions division of PerkinElmer, Inc in 2018.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(expense), net increased $21.1 million for the six months ended June 30, 2026. As a result of the termination of the Development Agreement in the first quarter of 2026, we recognized $14.0 million of non-cash income from the contract's off-market liability and $7.9 million of deferred revenue. This termination of an acquired, off-market contract is unusual and infrequent in nature.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 (Expense) Benefit</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benefit decreased $2.9 million, or 98%, to $0.1 million for the six months ended June 30, 2026, compared to $3.0 million for the six months ended June 30, 2025. The change was primarily due to the release of a portion of our valuation allowance on deferred tax assets due to temporary tax differences related to the acquisition of Emission.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 xml:space="preserve">Our </w:t>
      </w:r>
      <w:r>
        <w:rPr>
          <w:rFonts w:ascii="Times New Roman;serif" w:hAnsi="Times New Roman;serif"/>
          <w:b w:val="false"/>
          <w:color w:val="000000"/>
          <w:sz w:val="20"/>
        </w:rPr>
        <w:t xml:space="preserve">principal sources of liquidity are cash, cash equivalents, marketable securities, and funds generated from sales of our products and services. As of June 30, 2026, we had $44.2 million of cash and cash equivalents and $49.4 million of marketable securities. Historically we have also financed our operations through equity offerings and borrowings from credit facilities. Our liquidity requirements have consisted, and we expect that they will continue to consist, of sales and marketing expenses, research and development expenses, working capital, general corporate expenses, and contingent payments related to our prior acquisition activity.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our cash, cash equivalents, and marketable securities, along with funds generated from sales of our products and services, will be sufficient to meet our anticipated operating cash requirements for at least 12 months from the date of this Quarterly Report on Form 10-Q.</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previously set a cash flow breakeven target of year-end 2026, we now anticipate being cash flow breakeven in 2027. The primary factors leading to this change include increasing our investment in commercial leadership and resources across our research tools and Accelerator Laboratory businesses and building our diagnostics team and infrastructure as we focus on Alzheimer's diagnostics. Along with the changes discussed in the section titled "Recent Business Developments - Business Strategy Update", we believe that improving our commercial execution will allow us to grow without substantial macro-environment recovery. Additionally, weaker-than-expected revenue in the first half of 2026 contributed to our updated timeline. Our ability to achieve our cash flow breakeven target is dependent on our success in implementing our strategy changes and meeting revenue and expense objectives. Further, our progress could be adversely affected by economic, market, and other external factors.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 but not limited to, our pace of growth, enhancements to or introductions of new instruments, assays, and services, including Lucent Diagnostics, and advancing access to our diagnostic tests, market acceptance of our products and services, regulatory requirements, regulatory approval of our products or services, and the effects of competition, technological developments, and broader market and economic trends.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additional capital is needed, we cannot guarantee that we will be able to obtain funding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if needed, we may have to delay development or commercialization of our products and services. We also may have to reduce marketing, customer support, or other resources devoted to our products, or cease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(in thousands):</w:t>
      </w:r>
    </w:p>
    <w:tbl>
      <w:tblPr>
        <w:tblW w:w="7358" w:type="dxa"/>
        <w:jc w:val="left"/>
        <w:tblInd w:w="0" w:type="dxa"/>
        <w:tblLayout w:type="fixed"/>
        <w:tblCellMar>
          <w:top w:w="28" w:type="dxa"/>
          <w:left w:w="28" w:type="dxa"/>
          <w:bottom w:w="28" w:type="dxa"/>
          <w:right w:w="28" w:type="dxa"/>
        </w:tblCellMar>
      </w:tblPr>
      <w:tblGrid>
        <w:gridCol w:w="1720"/>
        <w:gridCol w:w="1515"/>
        <w:gridCol w:w="1519"/>
        <w:gridCol w:w="211"/>
        <w:gridCol w:w="796"/>
        <w:gridCol w:w="109"/>
        <w:gridCol w:w="109"/>
        <w:gridCol w:w="109"/>
        <w:gridCol w:w="109"/>
        <w:gridCol w:w="211"/>
        <w:gridCol w:w="796"/>
        <w:gridCol w:w="154"/>
      </w:tblGrid>
      <w:tr>
        <w:trPr/>
        <w:tc>
          <w:tcPr>
            <w:tcW w:w="172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(19,543)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74,763 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derive cash flows from operations primarily from the sale of our products and services. Our cash flows from operating activities are also significantly influenced by our use of cash for operating expenses to develop new products and services, invest in process and product improvements, and increase our sales and marketing efforts. We have historically experienced negative cash flows from operating activities as we have developed our technology, expanded our business, and built our infrastructure. We expect negative cash flows from operating activities will continue into 2027.</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was $23.2 million and $19.5 million for the six months ended June 30, 2026 and 2025, respectively. The $3.7 million increase in net cash used in operations was primarily due to an increase in net loss and adjustments for non-cash items, including $46.8 million of impairment charges for goodwill and an in-process research and development intangible asset, partially offset by the recognition of $14.0 million of non-cash income related to the termination of the Development Agreement. The overall change in net cash used in operations was also driven by a $25.3 million change in working capital items, primarily a $15.6 million decrease in accounts payable and accrued compensation and benefits and the recognition of $7.9 million of deferred revenue associated with the termination of the Development Agreement.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investing activities have consisted of purchases, sales, and maturities of marketable securities, funds to acquire companies, and capital expenditures for the purchase of property and equipment to support our infrastructure.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$38.9 million during the six months ended June 30, 2026, which consisted primarily of $47.4 million of proceeds from sales and maturities of marketable securities offset by $8.2 million of purchases of marketable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$94.6 million during the six months ended June 30, 2025, which consisted of $135.9 million of proceeds from sales and maturities of marketable securities, $9.0 million of cash paid for the acquisition of Emission, $30.2 million for the purchase of marketable securities, and $2.0 million of purchases of property and equipment.</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$1.3 million during the six months ended June 30, 2026, compared $0.3 million during the six months ended June 30, 2025. The cash used in 2026 was primarily related to payments made for the holdback liability from the acquisition of Emission and achievement of certain performance targets on contingent payment arrangements from our acquisitions.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Future Cash Obligations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there have been no material changes to our contractual obligations and commitments from those described in the section titled "Part II, Item 7. Management’s Discussion and Analysis of Financial Condition and Results of Operations" included in our 2025 Form 10-K.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cash commitments disclosed in our 2025 Form 10-K, we may have other payables and liabilities that may be legally enforceable but are not considered contractual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and significant estimates that involve a higher degree of judgment and complexity are described in the section titled "Part II, Item 7. Management’s Discussion and Analysis of Financial Condition and Results of Operations – Critical Accounting Policies and Estimates" included in our 2025 Form 10-K.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previously disclosed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40"/>
        <w:ind w:left="0" w:right="0" w:firstLine="720"/>
        <w:jc w:val="left"/>
        <w:rPr/>
      </w:pPr>
      <w:r>
        <w:rPr>
          <w:rFonts w:ascii="Times New Roman;serif" w:hAnsi="Times New Roman;serif"/>
          <w:b w:val="false"/>
          <w:color w:val="000000"/>
          <w:sz w:val="20"/>
        </w:rPr>
        <w:t>Refer to Note 2</w:t>
      </w:r>
      <w:r>
        <w:rPr>
          <w:color w:val="000000"/>
        </w:rPr>
        <w:t xml:space="preserve"> </w:t>
      </w:r>
      <w:r>
        <w:rPr>
          <w:rFonts w:ascii="Times New Roman;serif" w:hAnsi="Times New Roman;serif"/>
          <w:b w:val="false"/>
          <w:i/>
          <w:color w:val="000000"/>
          <w:sz w:val="20"/>
        </w:rPr>
        <w:t>- Significant Accounting Policies</w:t>
      </w:r>
      <w:r>
        <w:rPr>
          <w:color w:val="000000"/>
        </w:rPr>
        <w:t xml:space="preserve"> </w:t>
      </w:r>
      <w:r>
        <w:rPr>
          <w:rFonts w:ascii="Times New Roman;serif" w:hAnsi="Times New Roman;serif"/>
          <w:b w:val="false"/>
          <w:color w:val="000000"/>
          <w:sz w:val="20"/>
        </w:rPr>
        <w:t xml:space="preserve">in the Notes to Consolidated Financial Statements included in this Quarterly Report on Form 10-Q for a full description of recent accounting pronouncements, including the expected dates of adoption and effects on our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there have been no material changes to the market risk information from those described in the section titled "Part II, Item 7A. Quantitative and Qualitative Disclosures About Market Risk" included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carried out an evaluation, under the supervision and with the participation of its chief executive officer and chief financial officer, of the effectiveness of the design and operation of its disclosure controls and procedures, as defined in Exchange Act Rules 13a-15(e) and 15d-15(e), as of the end of the period covered by this Quarterly Report on Form 10-Q.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Our disclosure controls and procedures are designed to provide a reasonable assurance of achieving their objectives.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the evaluation described above, our principal executive officer and principal financial officer concluded that as of June 30, 2026, our disclosure controls and procedures were effective.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Changes in Internal Control over Financial Reporting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six months ended June 30, 2026 that have materially affected, or are reasonably likely to materially affect, our internal control over financial reporting other than the integration of Akoya discussed below.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completed the integration of Akoya's related business processes and systems into our overall internal controls over financial reporting. We will include Akoya in our annual internal control assessment beginning with our Annual Report on Form 10-K for the year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40"/>
        <w:ind w:left="0" w:right="0" w:firstLine="720"/>
        <w:jc w:val="left"/>
        <w:rPr/>
      </w:pPr>
      <w:r>
        <w:rPr>
          <w:rFonts w:ascii="Times New Roman;serif" w:hAnsi="Times New Roman;serif"/>
          <w:b w:val="false"/>
          <w:color w:val="000000"/>
          <w:sz w:val="20"/>
          <w:shd w:fill="FFFFFF" w:val="clear"/>
        </w:rPr>
        <w:t xml:space="preserve">In the ordinary course of business, we are from time to time involved in lawsuits, claims, investigations, proceedings and threats of litigation consisting of intellectual property, contractual, employment, and other matters. While the outcome of any such actions or proceedings cannot be predicted with certainty,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we were not party to any legal proceedings, the outcome of which would be expected to have a material adverse effect on our financial condition or results of operations</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Regardless of any outcome, litigation can have a material adverse effect on us due to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risks and events that, if they occur, could adversely affect our financial condition, results of operations, or the price of our common stock. In addition to the other information set forth in this Quarterly Report on Form 10-Q, you should carefully consider the risk factors set forth in the section titled "Part I, Item 1A. Risk Factors" in our Annual Report on Form 10-K for the year ended December 31, 2025 (the "Form 10-K"), as filed with the SEC on March 2, 2026. These risk factors are not the only risks we face. Additional risks and uncertainties not currently known to us or that we deem to be not material also may adversely affect our business, financial condition, and results of operations.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the date of this Quarterly Report on Form 10-Q, there were no material changes to the risk factors described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Securities Trading Plans of Directors and Executive Officers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adopted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02"/>
        <w:gridCol w:w="266"/>
        <w:gridCol w:w="267"/>
        <w:gridCol w:w="109"/>
        <w:gridCol w:w="109"/>
        <w:gridCol w:w="109"/>
        <w:gridCol w:w="1521"/>
        <w:gridCol w:w="1391"/>
        <w:gridCol w:w="1288"/>
        <w:gridCol w:w="109"/>
        <w:gridCol w:w="109"/>
        <w:gridCol w:w="109"/>
        <w:gridCol w:w="260"/>
        <w:gridCol w:w="260"/>
        <w:gridCol w:w="261"/>
        <w:gridCol w:w="109"/>
        <w:gridCol w:w="109"/>
        <w:gridCol w:w="109"/>
        <w:gridCol w:w="411"/>
        <w:gridCol w:w="411"/>
        <w:gridCol w:w="412"/>
        <w:gridCol w:w="109"/>
        <w:gridCol w:w="109"/>
        <w:gridCol w:w="109"/>
        <w:gridCol w:w="216"/>
        <w:gridCol w:w="216"/>
        <w:gridCol w:w="217"/>
        <w:gridCol w:w="109"/>
        <w:gridCol w:w="109"/>
        <w:gridCol w:w="109"/>
        <w:gridCol w:w="277"/>
        <w:gridCol w:w="243"/>
        <w:gridCol w:w="351"/>
      </w:tblGrid>
      <w:tr>
        <w:trPr/>
        <w:tc>
          <w:tcPr>
            <w:tcW w:w="30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w:t>
              <w:br/>
              <w:t>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w:t>
              <w:br/>
              <w:t xml:space="preserve">Reference herein </w:t>
              <w:br/>
              <w:t>from Form or Schedule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 File/</w:t>
              <w:br/>
              <w:t>Reg.</w:t>
              <w:br/>
              <w:t>Number</w:t>
            </w:r>
          </w:p>
        </w:tc>
      </w:tr>
      <w:tr>
        <w:trPr/>
        <w:tc>
          <w:tcPr>
            <w:tcW w:w="83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"https://www.sec.gov/Archives/edgar/data/1503274/000110465917073618/a17-28479_1ex3d1.htm" \l "Exhibit3_1.htm"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Amended and Restated Certificate of Incorporation.</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001-38319</w:t>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001-38319</w:t>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Quanterix Corporation 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001-38319</w:t>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Employment Agreement by and between the Company and Jason Faessler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06/09/2026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001-38319</w:t>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Employment Agreement by and between the Company and Anthony Catalano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05/26/2026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001-38319</w:t>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Amended and Restated 2025 Inducement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01/15/2026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333-292362</w:t>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Second Amendment to the Employment Agreement by and between the Company and Vandana Sriram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001-38319</w:t>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Preferability Letter of KPMG LLP Regarding Change in Accounting Principle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001-38319</w:t>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x302certificationceo.htm">
              <w:r>
                <w:rPr>
                  <w:rStyle w:val="InternetLink"/>
                  <w:rFonts w:ascii="Times New Roman;serif" w:hAnsi="Times New Roman;serif"/>
                  <w:b w:val="false"/>
                  <w:color w:val="0000FF"/>
                  <w:sz w:val="20"/>
                  <w:u w:val="single"/>
                </w:rPr>
                <w:t>Certification of the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x302certificationcfo.htm">
              <w:r>
                <w:rPr>
                  <w:rStyle w:val="InternetLink"/>
                  <w:rFonts w:ascii="Times New Roman;serif" w:hAnsi="Times New Roman;serif"/>
                  <w:b w:val="false"/>
                  <w:color w:val="0000FF"/>
                  <w:sz w:val="20"/>
                  <w:u w:val="single"/>
                </w:rPr>
                <w:t>Certification of the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x906certificationq226.htm">
              <w:r>
                <w:rPr>
                  <w:rStyle w:val="InternetLink"/>
                  <w:rFonts w:ascii="Times New Roman;serif" w:hAnsi="Times New Roman;serif"/>
                  <w:b w:val="false"/>
                  <w:color w:val="0000FF"/>
                  <w:sz w:val="20"/>
                  <w:u w:val="single"/>
                </w:rPr>
                <w:t>Certifications of the Principal Executive Officer and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2"/>
        <w:gridCol w:w="2879"/>
        <w:gridCol w:w="40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Certain exhibits and schedules have been omitted pursuant to Item 601(b)(2) of Regulation S-K. The Registrant hereby undertakes to furnish supplemental copies of any of the omitted exhibits and schedules upon request by the SEC; provided, however, that the Registrant may request confidential treatment pursuant to Rule 24b-2 of the Securities Exchange Act of 1934, as amended, for any exhibits or schedules so furnished.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14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366" w:type="dxa"/>
        <w:jc w:val="left"/>
        <w:tblInd w:w="0" w:type="dxa"/>
        <w:tblLayout w:type="fixed"/>
        <w:tblCellMar>
          <w:top w:w="28" w:type="dxa"/>
          <w:left w:w="28" w:type="dxa"/>
          <w:bottom w:w="28" w:type="dxa"/>
          <w:right w:w="28" w:type="dxa"/>
        </w:tblCellMar>
      </w:tblPr>
      <w:tblGrid>
        <w:gridCol w:w="743"/>
        <w:gridCol w:w="653"/>
        <w:gridCol w:w="659"/>
        <w:gridCol w:w="439"/>
        <w:gridCol w:w="439"/>
        <w:gridCol w:w="439"/>
        <w:gridCol w:w="1458"/>
        <w:gridCol w:w="1458"/>
        <w:gridCol w:w="2078"/>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1"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QUANTERIX CORPORATION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10, 2026</w:t>
            </w:r>
          </w:p>
        </w:tc>
        <w:tc>
          <w:tcPr>
            <w:tcW w:w="131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9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Everett Cunningham</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Everett Cunningham</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10, 2026</w:t>
            </w:r>
          </w:p>
        </w:tc>
        <w:tc>
          <w:tcPr>
            <w:tcW w:w="131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Jason Faessler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Jason Faessler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CERTIFICATIONS UNDER SECTION 302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Everett Cunningham, certify that:</w:t>
      </w:r>
    </w:p>
    <w:p>
      <w:pPr>
        <w:pStyle w:val="TextBody"/>
        <w:bidi w:val="0"/>
        <w:spacing w:lineRule="auto" w:line="288" w:before="240" w:after="283"/>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Quanterix Corporation;</w:t>
      </w:r>
    </w:p>
    <w:p>
      <w:pPr>
        <w:pStyle w:val="TextBody"/>
        <w:bidi w:val="0"/>
        <w:spacing w:lineRule="auto" w:line="288" w:before="240" w:after="283"/>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bl>
      <w:tblPr>
        <w:tblW w:w="3551" w:type="dxa"/>
        <w:jc w:val="left"/>
        <w:tblInd w:w="0" w:type="dxa"/>
        <w:tblLayout w:type="fixed"/>
        <w:tblCellMar>
          <w:top w:w="28" w:type="dxa"/>
          <w:left w:w="28" w:type="dxa"/>
          <w:bottom w:w="28" w:type="dxa"/>
          <w:right w:w="28" w:type="dxa"/>
        </w:tblCellMar>
      </w:tblPr>
      <w:tblGrid>
        <w:gridCol w:w="1153"/>
        <w:gridCol w:w="1010"/>
        <w:gridCol w:w="1016"/>
        <w:gridCol w:w="109"/>
        <w:gridCol w:w="109"/>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Everett Cunningham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Everett Cunningham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CERTIFICATIONS UNDER SECTION 302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Jason Faessler, certify that:</w:t>
      </w:r>
    </w:p>
    <w:p>
      <w:pPr>
        <w:pStyle w:val="TextBody"/>
        <w:bidi w:val="0"/>
        <w:spacing w:lineRule="auto" w:line="288" w:before="240" w:after="283"/>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Quanterix Corporation;</w:t>
      </w:r>
    </w:p>
    <w:p>
      <w:pPr>
        <w:pStyle w:val="TextBody"/>
        <w:bidi w:val="0"/>
        <w:spacing w:lineRule="auto" w:line="288" w:before="240" w:after="283"/>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bl>
      <w:tblPr>
        <w:tblW w:w="5337" w:type="dxa"/>
        <w:jc w:val="left"/>
        <w:tblInd w:w="0" w:type="dxa"/>
        <w:tblLayout w:type="fixed"/>
        <w:tblCellMar>
          <w:top w:w="28" w:type="dxa"/>
          <w:left w:w="28" w:type="dxa"/>
          <w:bottom w:w="28" w:type="dxa"/>
          <w:right w:w="28" w:type="dxa"/>
        </w:tblCellMar>
      </w:tblPr>
      <w:tblGrid>
        <w:gridCol w:w="1794"/>
        <w:gridCol w:w="1583"/>
        <w:gridCol w:w="1588"/>
        <w:gridCol w:w="109"/>
        <w:gridCol w:w="109"/>
        <w:gridCol w:w="154"/>
      </w:tblGrid>
      <w:tr>
        <w:trPr/>
        <w:tc>
          <w:tcPr>
            <w:tcW w:w="1794"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Jason Faessler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Jason Faessler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CERTIFICATIONS UNDER SECTION 906</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Quarterly Report for the period ended June 30,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tbl>
      <w:tblPr>
        <w:tblW w:w="5264" w:type="dxa"/>
        <w:jc w:val="left"/>
        <w:tblInd w:w="0" w:type="dxa"/>
        <w:tblLayout w:type="fixed"/>
        <w:tblCellMar>
          <w:top w:w="28" w:type="dxa"/>
          <w:left w:w="28" w:type="dxa"/>
          <w:bottom w:w="28" w:type="dxa"/>
          <w:right w:w="28" w:type="dxa"/>
        </w:tblCellMar>
      </w:tblPr>
      <w:tblGrid>
        <w:gridCol w:w="743"/>
        <w:gridCol w:w="653"/>
        <w:gridCol w:w="659"/>
        <w:gridCol w:w="939"/>
        <w:gridCol w:w="939"/>
        <w:gridCol w:w="1331"/>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10, 2026</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Everett Cunningham</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Everett Cunningham</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10, 2026</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Jason Faessler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Jason Faessler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3274/000150327425000089/ex31-restatedbylawseffecti.htm" TargetMode="External"/><Relationship Id="rId3" Type="http://schemas.openxmlformats.org/officeDocument/2006/relationships/hyperlink" Target="https://www.sec.gov/Archives/edgar/data/1503274/000150327426000021/ex101-amendedandrestatedqu.htm" TargetMode="External"/><Relationship Id="rId4" Type="http://schemas.openxmlformats.org/officeDocument/2006/relationships/hyperlink" Target="https://www.sec.gov/Archives/edgar/data/1503274/000162828026041773/exhibit101-qtrxx20260609.htm" TargetMode="External"/><Relationship Id="rId5" Type="http://schemas.openxmlformats.org/officeDocument/2006/relationships/hyperlink" Target="https://www.sec.gov/Archives/edgar/data/1503274/000150327426000024/exhibit101-qtrxx20262605.htm" TargetMode="External"/><Relationship Id="rId6" Type="http://schemas.openxmlformats.org/officeDocument/2006/relationships/hyperlink" Target="https://www.sec.gov/Archives/edgar/data/1503274/000162828026002211/forms-8xamendedrestated202.htm" TargetMode="External"/><Relationship Id="rId7" Type="http://schemas.openxmlformats.org/officeDocument/2006/relationships/hyperlink" Target="https://www.sec.gov/Archives/edgar/data/1503274/000150327426000021/ex105-secondamendmenttothe.htm" TargetMode="External"/><Relationship Id="rId8" Type="http://schemas.openxmlformats.org/officeDocument/2006/relationships/hyperlink" Target="https://www.sec.gov/Archives/edgar/data/1503274/000150327426000021/ex181-preferabilitylettero.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19298</Words>
  <Characters>107944</Characters>
  <CharactersWithSpaces>125554</CharactersWithSpaces>
  <Paragraphs>2890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