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165100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340" w:hanging="330"/>
        <w:spacing w:after="0" w:line="237" w:lineRule="auto"/>
        <w:tabs>
          <w:tab w:leader="none" w:pos="3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340" w:hanging="330"/>
        <w:spacing w:after="0" w:line="262" w:lineRule="auto"/>
        <w:tabs>
          <w:tab w:leader="none" w:pos="3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340"/>
        <w:spacing w:after="0"/>
        <w:tabs>
          <w:tab w:leader="none" w:pos="6200" w:val="left"/>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148590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QUANTERIX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20-8957988</w:t>
            </w:r>
          </w:p>
        </w:tc>
      </w:tr>
      <w:tr>
        <w:trPr>
          <w:trHeight w:val="188"/>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4700" w:type="dxa"/>
            <w:vAlign w:val="bottom"/>
          </w:tcPr>
          <w:p>
            <w:pPr>
              <w:jc w:val="center"/>
              <w:ind w:right="1157"/>
              <w:spacing w:after="0"/>
              <w:rPr>
                <w:sz w:val="20"/>
                <w:szCs w:val="20"/>
                <w:color w:val="auto"/>
              </w:rPr>
            </w:pPr>
            <w:r>
              <w:rPr>
                <w:rFonts w:ascii="Times New Roman" w:cs="Times New Roman" w:eastAsia="Times New Roman" w:hAnsi="Times New Roman"/>
                <w:sz w:val="18"/>
                <w:szCs w:val="18"/>
                <w:b w:val="1"/>
                <w:bCs w:val="1"/>
                <w:color w:val="auto"/>
                <w:w w:val="98"/>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8"/>
                <w:szCs w:val="18"/>
                <w:b w:val="1"/>
                <w:bCs w:val="1"/>
                <w:color w:val="auto"/>
                <w:w w:val="99"/>
              </w:rPr>
              <w:t>Billerica, MA</w:t>
            </w:r>
          </w:p>
        </w:tc>
        <w:tc>
          <w:tcPr>
            <w:tcW w:w="3220" w:type="dxa"/>
            <w:vAlign w:val="bottom"/>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01821</w:t>
            </w:r>
          </w:p>
        </w:tc>
      </w:tr>
      <w:tr>
        <w:trPr>
          <w:trHeight w:val="239"/>
        </w:trPr>
        <w:tc>
          <w:tcPr>
            <w:tcW w:w="4700" w:type="dxa"/>
            <w:vAlign w:val="bottom"/>
          </w:tcPr>
          <w:p>
            <w:pPr>
              <w:jc w:val="center"/>
              <w:ind w:right="11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2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4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88265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 w:lineRule="exact"/>
        <w:rPr>
          <w:sz w:val="24"/>
          <w:szCs w:val="24"/>
          <w:color w:val="auto"/>
        </w:rPr>
      </w:pPr>
    </w:p>
    <w:p>
      <w:pPr>
        <w:ind w:left="20" w:right="260" w:firstLine="51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ind w:left="20"/>
        <w:spacing w:after="0" w:line="242" w:lineRule="exact"/>
        <w:tabs>
          <w:tab w:leader="none" w:pos="5080" w:val="left"/>
          <w:tab w:leader="none" w:pos="5800" w:val="left"/>
        </w:tabs>
        <w:rPr>
          <w:sz w:val="20"/>
          <w:szCs w:val="20"/>
          <w:color w:val="auto"/>
        </w:rPr>
      </w:pPr>
      <w:r>
        <w:rPr>
          <w:rFonts w:ascii="Times New Roman" w:cs="Times New Roman" w:eastAsia="Times New Roman" w:hAnsi="Times New Roman"/>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6" w:lineRule="exact"/>
        <w:rPr>
          <w:sz w:val="24"/>
          <w:szCs w:val="24"/>
          <w:color w:val="auto"/>
        </w:rPr>
      </w:pPr>
    </w:p>
    <w:p>
      <w:pPr>
        <w:jc w:val="both"/>
        <w:ind w:left="20" w:right="5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left="20" w:right="26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2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26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9" w:lineRule="exact"/>
        <w:rPr>
          <w:sz w:val="24"/>
          <w:szCs w:val="24"/>
          <w:color w:val="auto"/>
        </w:rPr>
      </w:pPr>
    </w:p>
    <w:p>
      <w:pPr>
        <w:ind w:left="20" w:right="3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jc w:val="right"/>
        <w:ind w:left="20" w:right="8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As of November 1, 2022, the registrant had 37,054,705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541020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104140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33"/>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2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gridSpan w:val="14"/>
          </w:tcPr>
          <w:p>
            <w:pPr>
              <w:jc w:val="center"/>
              <w:ind w:right="296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00" w:type="dxa"/>
            <w:vAlign w:val="bottom"/>
          </w:tcPr>
          <w:p>
            <w:pPr>
              <w:spacing w:after="0"/>
              <w:rPr>
                <w:sz w:val="24"/>
                <w:szCs w:val="24"/>
                <w:color w:val="auto"/>
              </w:rPr>
            </w:pPr>
          </w:p>
        </w:tc>
      </w:tr>
      <w:tr>
        <w:trPr>
          <w:trHeight w:val="412"/>
        </w:trPr>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3240" w:type="dxa"/>
            <w:vAlign w:val="bottom"/>
            <w:tcBorders>
              <w:top w:val="single" w:sz="8" w:color="0000EE"/>
            </w:tcBorders>
            <w:gridSpan w:val="7"/>
          </w:tcPr>
          <w:p>
            <w:pPr>
              <w:spacing w:after="0"/>
              <w:rPr>
                <w:sz w:val="24"/>
                <w:szCs w:val="24"/>
                <w:color w:val="auto"/>
              </w:rPr>
            </w:pPr>
          </w:p>
        </w:tc>
        <w:tc>
          <w:tcPr>
            <w:tcW w:w="304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at September 30, 2022 and December 31, 2021</w:t>
            </w:r>
          </w:p>
        </w:tc>
        <w:tc>
          <w:tcPr>
            <w:tcW w:w="25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440" w:type="dxa"/>
            <w:vAlign w:val="bottom"/>
          </w:tcPr>
          <w:p>
            <w:pPr>
              <w:spacing w:after="0"/>
              <w:rPr>
                <w:sz w:val="17"/>
                <w:szCs w:val="17"/>
                <w:color w:val="auto"/>
              </w:rPr>
            </w:pPr>
          </w:p>
        </w:tc>
        <w:tc>
          <w:tcPr>
            <w:tcW w:w="86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2022 and 2021</w:t>
            </w:r>
          </w:p>
        </w:tc>
        <w:tc>
          <w:tcPr>
            <w:tcW w:w="2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40" w:type="dxa"/>
            <w:vAlign w:val="bottom"/>
          </w:tcPr>
          <w:p>
            <w:pPr>
              <w:spacing w:after="0"/>
              <w:rPr>
                <w:sz w:val="17"/>
                <w:szCs w:val="17"/>
                <w:color w:val="auto"/>
              </w:rPr>
            </w:pPr>
          </w:p>
        </w:tc>
        <w:tc>
          <w:tcPr>
            <w:tcW w:w="8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Nine Months Ended September 30, 2022</w:t>
            </w:r>
          </w:p>
        </w:tc>
        <w:tc>
          <w:tcPr>
            <w:tcW w:w="4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2021</w:t>
            </w:r>
          </w:p>
        </w:tc>
        <w:tc>
          <w:tcPr>
            <w:tcW w:w="7760" w:type="dxa"/>
            <w:vAlign w:val="bottom"/>
            <w:tcBorders>
              <w:top w:val="single" w:sz="8" w:color="0000EE"/>
            </w:tcBorders>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40" w:type="dxa"/>
            <w:vAlign w:val="bottom"/>
          </w:tcPr>
          <w:p>
            <w:pPr>
              <w:spacing w:after="0"/>
              <w:rPr>
                <w:sz w:val="17"/>
                <w:szCs w:val="17"/>
                <w:color w:val="auto"/>
              </w:rPr>
            </w:pPr>
          </w:p>
        </w:tc>
        <w:tc>
          <w:tcPr>
            <w:tcW w:w="79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2022 and 2021</w:t>
            </w:r>
          </w:p>
        </w:tc>
        <w:tc>
          <w:tcPr>
            <w:tcW w:w="9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40" w:type="dxa"/>
            <w:vAlign w:val="bottom"/>
          </w:tcPr>
          <w:p>
            <w:pPr>
              <w:spacing w:after="0"/>
              <w:rPr>
                <w:sz w:val="17"/>
                <w:szCs w:val="17"/>
                <w:color w:val="auto"/>
              </w:rPr>
            </w:pPr>
          </w:p>
        </w:tc>
        <w:tc>
          <w:tcPr>
            <w:tcW w:w="86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2021</w:t>
            </w:r>
          </w:p>
        </w:tc>
        <w:tc>
          <w:tcPr>
            <w:tcW w:w="800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440" w:type="dxa"/>
            <w:vAlign w:val="bottom"/>
          </w:tcPr>
          <w:p>
            <w:pPr>
              <w:spacing w:after="0"/>
              <w:rPr>
                <w:sz w:val="17"/>
                <w:szCs w:val="17"/>
                <w:color w:val="auto"/>
              </w:rPr>
            </w:pPr>
          </w:p>
        </w:tc>
        <w:tc>
          <w:tcPr>
            <w:tcW w:w="8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49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23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gridSpan w:val="12"/>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400" w:type="dxa"/>
            <w:vAlign w:val="bottom"/>
          </w:tcPr>
          <w:p>
            <w:pPr>
              <w:spacing w:after="0"/>
              <w:rPr>
                <w:sz w:val="24"/>
                <w:szCs w:val="24"/>
                <w:color w:val="auto"/>
              </w:rPr>
            </w:pPr>
          </w:p>
        </w:tc>
      </w:tr>
      <w:tr>
        <w:trPr>
          <w:trHeight w:val="412"/>
        </w:trPr>
        <w:tc>
          <w:tcPr>
            <w:tcW w:w="31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1. Legal Proceedings</w:t>
            </w:r>
          </w:p>
        </w:tc>
        <w:tc>
          <w:tcPr>
            <w:tcW w:w="2940" w:type="dxa"/>
            <w:vAlign w:val="bottom"/>
            <w:tcBorders>
              <w:top w:val="single" w:sz="8" w:color="0000EE"/>
            </w:tcBorders>
            <w:gridSpan w:val="5"/>
          </w:tcPr>
          <w:p>
            <w:pPr>
              <w:spacing w:after="0"/>
              <w:rPr>
                <w:sz w:val="24"/>
                <w:szCs w:val="24"/>
                <w:color w:val="auto"/>
              </w:rPr>
            </w:pPr>
          </w:p>
        </w:tc>
        <w:tc>
          <w:tcPr>
            <w:tcW w:w="32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8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44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442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644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700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18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460" w:type="dxa"/>
            <w:vAlign w:val="bottom"/>
            <w:gridSpan w:val="18"/>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80" w:type="dxa"/>
            <w:vAlign w:val="bottom"/>
            <w:tcBorders>
              <w:top w:val="single" w:sz="8" w:color="0000EE"/>
            </w:tcBorders>
          </w:tcPr>
          <w:p>
            <w:pPr>
              <w:spacing w:after="0"/>
              <w:rPr>
                <w:sz w:val="24"/>
                <w:szCs w:val="24"/>
                <w:color w:val="auto"/>
              </w:rPr>
            </w:pPr>
          </w:p>
        </w:tc>
        <w:tc>
          <w:tcPr>
            <w:tcW w:w="818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3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including anticipated benefits and costs associated with our plan of restructuring announced in August 2022, and are subject to a number of risks, uncertainties and assumptions, including those described in Part II, Item 1A , “Risk Factors” and elsewhere in this Quarterly Report on Form 10-Q and in Part I, Item 1A, “Risk Factors” in our Annual Report on Form 10-K for the year ended December 31, 2021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00"/>
          </w:cols>
          <w:pgMar w:left="900" w:top="513"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343,743</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396,465</w:t>
            </w:r>
          </w:p>
        </w:tc>
      </w:tr>
      <w:tr>
        <w:trPr>
          <w:trHeight w:val="189"/>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$521 and $419 as of September 30, 2022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3"/>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r>
      <w:tr>
        <w:trPr>
          <w:trHeight w:val="20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22,190</w:t>
            </w:r>
          </w:p>
        </w:tc>
      </w:tr>
      <w:tr>
        <w:trPr>
          <w:trHeight w:val="203"/>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w:t>
            </w:r>
          </w:p>
        </w:tc>
      </w:tr>
      <w:tr>
        <w:trPr>
          <w:trHeight w:val="196"/>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448,955</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17,960</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10,534</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11,491</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6"/>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446,697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183"/>
        </w:trPr>
        <w:tc>
          <w:tcPr>
            <w:tcW w:w="64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w:t>
            </w:r>
          </w:p>
        </w:tc>
      </w:tr>
      <w:tr>
        <w:trPr>
          <w:trHeight w:val="202"/>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accrued expenses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03"/>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196"/>
        </w:trPr>
        <w:tc>
          <w:tcPr>
            <w:tcW w:w="6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36,977</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r>
      <w:tr>
        <w:trPr>
          <w:trHeight w:val="20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20,464</w:t>
            </w:r>
          </w:p>
        </w:tc>
      </w:tr>
      <w:tr>
        <w:trPr>
          <w:trHeight w:val="203"/>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19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60,575</w:t>
            </w:r>
          </w:p>
        </w:tc>
      </w:tr>
      <w:tr>
        <w:trPr>
          <w:trHeight w:val="190"/>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8"/>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 120,000,000 at September 30, 2022 and December 31, 2021, respectively;</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37,093,601 shares and 36,768,035 shares at September 30, 2022 and</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6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745,936</w:t>
            </w:r>
          </w:p>
        </w:tc>
      </w:tr>
      <w:tr>
        <w:trPr>
          <w:trHeight w:val="203"/>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03"/>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(383,581)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(305,462)</w:t>
            </w:r>
          </w:p>
        </w:tc>
      </w:tr>
      <w:tr>
        <w:trPr>
          <w:trHeight w:val="19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440,952</w:t>
            </w: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446,697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501,527</w:t>
            </w:r>
          </w:p>
        </w:tc>
      </w:tr>
      <w:tr>
        <w:trPr>
          <w:trHeight w:val="20"/>
        </w:trPr>
        <w:tc>
          <w:tcPr>
            <w:tcW w:w="6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57,586</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revenue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80,269</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Costs of goods sold: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24,233</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10,569</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34,214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45,467</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20,244</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63,913</w:t>
            </w:r>
          </w:p>
        </w:tc>
        <w:tc>
          <w:tcPr>
            <w:tcW w:w="0" w:type="dxa"/>
            <w:vAlign w:val="bottom"/>
          </w:tcPr>
          <w:p>
            <w:pPr>
              <w:spacing w:after="0"/>
              <w:rPr>
                <w:sz w:val="1"/>
                <w:szCs w:val="1"/>
                <w:color w:val="auto"/>
              </w:rPr>
            </w:pPr>
          </w:p>
        </w:tc>
      </w:tr>
      <w:tr>
        <w:trPr>
          <w:trHeight w:val="21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lease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impairment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expense</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47,547</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113,963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84,157</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(38,690)</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(78,109)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(35,064)</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(78,119)</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(37,662)</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37,004,596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36,518,177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36,926,549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35,774,455</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2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0"/>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09"/>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w:t>
            </w:r>
          </w:p>
        </w:tc>
      </w:tr>
      <w:tr>
        <w:trPr>
          <w:trHeight w:val="20"/>
        </w:trPr>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(78,119)</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loss expense on 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Inventory step-up amortization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 impairment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expense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non-cash items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non-current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 and benefits, other accrued expenses and other current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(44,182)</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RADx grant on assets purchased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 of common stock in underwritten public offering, net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ESPP purchase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(52,196)</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 of foreign currency exchange rate on cash</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stock at beginning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399,042</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182,584</w:t>
            </w:r>
          </w:p>
        </w:tc>
        <w:tc>
          <w:tcPr>
            <w:tcW w:w="0" w:type="dxa"/>
            <w:vAlign w:val="bottom"/>
          </w:tcPr>
          <w:p>
            <w:pPr>
              <w:spacing w:after="0"/>
              <w:rPr>
                <w:sz w:val="1"/>
                <w:szCs w:val="1"/>
                <w:color w:val="auto"/>
              </w:rPr>
            </w:pPr>
          </w:p>
        </w:tc>
      </w:tr>
      <w:tr>
        <w:trPr>
          <w:trHeight w:val="236"/>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stock at end of period</w:t>
            </w:r>
          </w:p>
        </w:tc>
        <w:tc>
          <w:tcPr>
            <w:tcW w:w="500" w:type="dxa"/>
            <w:vAlign w:val="bottom"/>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346,339</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Noncash transactions: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Right-of-use asset obtained in exchange for lease liabilities</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vMerge w:val="continue"/>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22,239</w:t>
            </w:r>
          </w:p>
        </w:tc>
        <w:tc>
          <w:tcPr>
            <w:tcW w:w="14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343,743</w:t>
            </w:r>
          </w:p>
        </w:tc>
        <w:tc>
          <w:tcPr>
            <w:tcW w:w="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346,339</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See accompanying note</w:t>
      </w:r>
      <w:r>
        <w:rPr>
          <w:rFonts w:ascii="Times New Roman" w:cs="Times New Roman" w:eastAsia="Times New Roman" w:hAnsi="Times New Roman"/>
          <w:sz w:val="17"/>
          <w:szCs w:val="17"/>
          <w:color w:val="auto"/>
        </w:rPr>
        <w:t>s</w:t>
      </w:r>
    </w:p>
    <w:p>
      <w:pPr>
        <w:sectPr>
          <w:pgSz w:w="11900" w:h="16838" w:orient="portrait"/>
          <w:cols w:equalWidth="0" w:num="1">
            <w:col w:w="9740"/>
          </w:cols>
          <w:pgMar w:left="900" w:top="51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1893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Quanterix Corporation</w:t>
      </w:r>
    </w:p>
    <w:p>
      <w:pPr>
        <w:spacing w:after="0" w:line="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60" w:type="dxa"/>
            <w:vAlign w:val="bottom"/>
            <w:tcBorders>
              <w:bottom w:val="single" w:sz="8" w:color="auto"/>
            </w:tcBorders>
            <w:gridSpan w:val="4"/>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36,974,827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756,139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405,456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(35,064)</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2022</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37,093,601</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759,312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(383,581)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June 30, 2021</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36,454,369</w:t>
            </w:r>
          </w:p>
        </w:tc>
        <w:tc>
          <w:tcPr>
            <w:tcW w:w="3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734,170</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(269,775)</w:t>
            </w:r>
          </w:p>
        </w:tc>
        <w:tc>
          <w:tcPr>
            <w:tcW w:w="300" w:type="dxa"/>
            <w:vAlign w:val="bottom"/>
            <w:gridSpan w:val="3"/>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466,010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63,097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(15,661)</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2021</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36,574,132</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739,862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(285,436)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60" w:type="dxa"/>
            <w:vAlign w:val="bottom"/>
            <w:tcBorders>
              <w:bottom w:val="single" w:sz="8" w:color="auto"/>
            </w:tcBorders>
            <w:gridSpan w:val="4"/>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1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36,768,035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745,936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(305,462)</w:t>
            </w:r>
          </w:p>
        </w:tc>
        <w:tc>
          <w:tcPr>
            <w:tcW w:w="16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117,986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(78,119)</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2022</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37,093,601</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759,312</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(2,999)</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(383,581)</w:t>
            </w:r>
          </w:p>
        </w:tc>
        <w:tc>
          <w:tcPr>
            <w:tcW w:w="160" w:type="dxa"/>
            <w:vAlign w:val="bottom"/>
            <w:gridSpan w:val="2"/>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2020</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31,796,544</w:t>
            </w:r>
          </w:p>
        </w:tc>
        <w:tc>
          <w:tcPr>
            <w:tcW w:w="30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451,433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(247,774)</w:t>
            </w:r>
          </w:p>
        </w:tc>
        <w:tc>
          <w:tcPr>
            <w:tcW w:w="300" w:type="dxa"/>
            <w:vAlign w:val="bottom"/>
            <w:gridSpan w:val="3"/>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capital shares:</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Exercised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455,476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units converted</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tcPr>
          <w:p>
            <w:pPr>
              <w:ind w:left="160"/>
              <w:spacing w:after="0"/>
              <w:rPr>
                <w:sz w:val="20"/>
                <w:szCs w:val="20"/>
                <w:color w:val="auto"/>
              </w:rPr>
            </w:pPr>
            <w:r>
              <w:rPr>
                <w:rFonts w:ascii="Calibri" w:cs="Calibri" w:eastAsia="Calibri" w:hAnsi="Calibri"/>
                <w:sz w:val="14"/>
                <w:szCs w:val="14"/>
                <w:color w:val="auto"/>
              </w:rPr>
              <w:t>−</w:t>
            </w:r>
            <w:r>
              <w:rPr>
                <w:rFonts w:ascii="Times New Roman" w:cs="Times New Roman" w:eastAsia="Times New Roman" w:hAnsi="Times New Roman"/>
                <w:sz w:val="14"/>
                <w:szCs w:val="14"/>
                <w:color w:val="auto"/>
              </w:rPr>
              <w:t>ESPP stock purchase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Sale of common stock in underwritten</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4,107,142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269,714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269,718</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public offering, net</w:t>
            </w: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(37,662)</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2021</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36,574,132</w:t>
            </w:r>
          </w:p>
        </w:tc>
        <w:tc>
          <w:tcPr>
            <w:tcW w:w="3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739,862</w:t>
            </w:r>
          </w:p>
        </w:tc>
        <w:tc>
          <w:tcPr>
            <w:tcW w:w="1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w:t>
            </w:r>
          </w:p>
        </w:tc>
        <w:tc>
          <w:tcPr>
            <w:tcW w:w="1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(285,436)</w:t>
            </w:r>
          </w:p>
        </w:tc>
        <w:tc>
          <w:tcPr>
            <w:tcW w:w="160" w:type="dxa"/>
            <w:vAlign w:val="bottom"/>
            <w:gridSpan w:val="2"/>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455,514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9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In addition to enabling new applications and insights in protein analysis, the Company’s Simoa platforms have also demonstrated applicability across other testing applications, including detection of nucleic acids and small molecules.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launched its first immunoassay platform, the Simoa HD-1 (HD-1), in 2014. The HD-1 is a fully automated immunoassay bead-based platform with multiplexing and custom assay capability, and related assay test kits and consumable materials. In the fourth quarter of 2017, the Company launched a second bead-based immunoassay platform (SR-X) with a more compact footprint than the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HD-1 and phased out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and have been prepared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2021 filed with the SEC on March 1, 2022.</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years’ consolidated financial statements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2021, included in the Company’s Annual Report on Form 10-K filed with the SEC on March 1, 2022. Except as noted below, there have been no material changes in the Company’s significant accounting policies during the nine months ended September 30,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fair value of identifiable net assets assumed in a business combination. Goodwill is assessed for impairment at least annually, on a reporting unit basis, or more frequently when events and circumstances occur indicating that the recorded goodwill may be impaired. Reporting units are one level below the business segment level but can be combined when reporting units within the same segment have similar economic characteristics. The Company operates within a single operating segment with one reporting unit. The process of evaluating the potential impairment of goodwill is subjective and requires significant judgment at many points during the analysis. If the book value of a reporting unit exceeds its fair value, the implied fair value of goodwill is compared with the carrying amount of goodwill. If the carrying amount of goodwill exceeds the implied fair value, an impairment loss is recorded in an amount equal to that excess. See Note 9 regarding assessment of the Company’s goodwill in the three months ended September 30, 2022.</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94"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long-lived assets including property and equipment and long-lived amortizable intangible assets in accordance with ASC Topic No.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ASC 360 requires companies to assess whether indicators of impairment are present on a periodic basis. If such indicators are present, ASC 360 prescribes a two-step impairment test: (i) if the carrying amount of a long-lived asset is not recoverable based on its undiscounted future cash flows, then (ii) the impairment loss is measured as the difference between the carrying amount and the fair value of the asset based on the forecasted discounted cash flows of the asset. See Note 12 for details regarding an impairment assessment of the Company’s long-lived assets, including right-of-use-assets, in the three months ended September 30,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charges associated with approved restructuring plans to reorganize operations, to improve the efficiency of business processes, or to remove redundant headcount. Restructuring charges can include severance costs to eliminate a specific number of employees, associated legal fees and contract cancellation costs. The Company records restructuring charges when they are probable and estimable. The Company accrues for severance and other employee separation costs under these plans when employees accept the separation offers, and the amounts can be reasonably estimated. The Company implemented a restructuring plan (as defined herein) during the three months ended September 30, 2022 details of which are discussed in Note 17.</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7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part of the Restructuring Plan, the Company is not utilizing the office and laboratory space leased in Bedford, Massachusetts, and is evaluating alternatives uses for the facilities, including terminating the lease or sub-leasing the facilities. Other lease costs on the consolidated statements of operations includes lease expenses and other facilities costs associated with these facilities for the periods after the determination the facilities would not be utilized.</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a promised good or service. The amount of revenue recognized reflects consideration that the Company expects to be entitled to receive in exchange for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goods and services, incentives and taxes collected from customers that are subsequently remitted to governmental authorities.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generally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and other revenue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For contract research services recognized over time, the Company uses the output method to measure the progress toward the complete satisfaction of the performance obligations. Revenues from other services are immaterial.</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 during the first quarter of 2022, and under the Statement of Work receives $1.5 million per calendar quarter during 2022, beginning with the first quarter of 2022. The revenue will be recognized over a one-year period.</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the Company entered into a Technology License Agreement (the Lilly License) under which Lilly granted to the Company a non-exclusive license to Lilly’s proprietary P-tau217 antibody technology for potential near-term use in research use only products and services and future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diagnostics applications within the field of Alzheimer’s disease. In consideration of the license, the Company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upfront fee, is required to make milestone payments based on the achievement of predetermined regulatory and commercial events, and will pay a royalty on net sales of licensed products.</w:t>
      </w:r>
    </w:p>
    <w:p>
      <w:pPr>
        <w:spacing w:after="0" w:line="187" w:lineRule="exact"/>
        <w:rPr>
          <w:sz w:val="20"/>
          <w:szCs w:val="20"/>
          <w:color w:val="auto"/>
        </w:rPr>
      </w:pPr>
    </w:p>
    <w:p>
      <w:pPr>
        <w:jc w:val="both"/>
        <w:ind w:left="60" w:right="179" w:firstLine="648"/>
        <w:spacing w:after="0" w:line="257" w:lineRule="auto"/>
        <w:rPr>
          <w:sz w:val="20"/>
          <w:szCs w:val="20"/>
          <w:color w:val="auto"/>
        </w:rPr>
      </w:pPr>
      <w:r>
        <w:rPr>
          <w:rFonts w:ascii="Times New Roman" w:cs="Times New Roman" w:eastAsia="Times New Roman" w:hAnsi="Times New Roman"/>
          <w:sz w:val="18"/>
          <w:szCs w:val="18"/>
          <w:color w:val="auto"/>
        </w:rPr>
        <w:t>The Company concluded that the Lilly Collaboration Agreement (including the Statement of Work) and the Lilly License represented a single contract with a customer and is accounting for the agreements as service revenue recognized over time as the services are delivered. The transaction price for the Lilly Collaboration Agreement is $10.9</w:t>
      </w:r>
    </w:p>
    <w:p>
      <w:pPr>
        <w:spacing w:after="0" w:line="1" w:lineRule="exact"/>
        <w:rPr>
          <w:sz w:val="20"/>
          <w:szCs w:val="20"/>
          <w:color w:val="auto"/>
        </w:rPr>
      </w:pPr>
    </w:p>
    <w:p>
      <w:pPr>
        <w:jc w:val="both"/>
        <w:ind w:left="60" w:right="179"/>
        <w:spacing w:after="0" w:line="260" w:lineRule="auto"/>
        <w:rPr>
          <w:sz w:val="20"/>
          <w:szCs w:val="20"/>
          <w:color w:val="auto"/>
        </w:rPr>
      </w:pPr>
      <w:r>
        <w:rPr>
          <w:rFonts w:ascii="Times New Roman" w:cs="Times New Roman" w:eastAsia="Times New Roman" w:hAnsi="Times New Roman"/>
          <w:sz w:val="18"/>
          <w:szCs w:val="18"/>
          <w:color w:val="auto"/>
        </w:rPr>
        <w:t>million. Contingent amounts due to Lilly represent variable consideration payable to a customer and will be recognized as reductions to service revenue up to the amount of the transaction price recognized, when probable. The Company is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utilizing an input method to measure the delivery of services by calculating costs incurred at each period end relative to total costs expected to be incurred.</w:t>
      </w:r>
    </w:p>
    <w:p>
      <w:pPr>
        <w:spacing w:after="0" w:line="162"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approximately $2.7 million and $8.1 million, respectively, of revenue from the Lilly Collaboration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When disaggregating revenue, the Company considered all of the economic factors that may affect its revenues.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from contracts with customers by revenue type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 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 2021</w:t>
            </w:r>
          </w:p>
        </w:tc>
        <w:tc>
          <w:tcPr>
            <w:tcW w:w="560" w:type="dxa"/>
            <w:vAlign w:val="bottom"/>
            <w:tcBorders>
              <w:bottom w:val="single" w:sz="8" w:color="auto"/>
            </w:tcBorders>
          </w:tcPr>
          <w:p>
            <w:pPr>
              <w:spacing w:after="0"/>
              <w:rPr>
                <w:sz w:val="14"/>
                <w:szCs w:val="14"/>
                <w:color w:val="auto"/>
              </w:rPr>
            </w:pPr>
          </w:p>
        </w:tc>
      </w:tr>
      <w:tr>
        <w:trPr>
          <w:trHeight w:val="142"/>
        </w:trPr>
        <w:tc>
          <w:tcPr>
            <w:tcW w:w="164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North America</w:t>
            </w:r>
          </w:p>
        </w:tc>
        <w:tc>
          <w:tcPr>
            <w:tcW w:w="140" w:type="dxa"/>
            <w:vAlign w:val="bottom"/>
          </w:tcPr>
          <w:p>
            <w:pPr>
              <w:spacing w:after="0"/>
              <w:rPr>
                <w:sz w:val="12"/>
                <w:szCs w:val="12"/>
                <w:color w:val="auto"/>
              </w:rPr>
            </w:pPr>
          </w:p>
        </w:tc>
        <w:tc>
          <w:tcPr>
            <w:tcW w:w="7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9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20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North America</w:t>
            </w:r>
          </w:p>
        </w:tc>
        <w:tc>
          <w:tcPr>
            <w:tcW w:w="140" w:type="dxa"/>
            <w:vAlign w:val="bottom"/>
          </w:tcPr>
          <w:p>
            <w:pPr>
              <w:spacing w:after="0"/>
              <w:rPr>
                <w:sz w:val="12"/>
                <w:szCs w:val="12"/>
                <w:color w:val="auto"/>
              </w:rPr>
            </w:pPr>
          </w:p>
        </w:tc>
        <w:tc>
          <w:tcPr>
            <w:tcW w:w="7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9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200" w:type="dxa"/>
            <w:vAlign w:val="bottom"/>
          </w:tcPr>
          <w:p>
            <w:pPr>
              <w:spacing w:after="0"/>
              <w:rPr>
                <w:sz w:val="12"/>
                <w:szCs w:val="12"/>
                <w:color w:val="auto"/>
              </w:rPr>
            </w:pPr>
          </w:p>
        </w:tc>
        <w:tc>
          <w:tcPr>
            <w:tcW w:w="56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revenues</w:t>
            </w: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03"/>
        </w:trPr>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Instruments</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40" w:type="dxa"/>
            <w:vAlign w:val="bottom"/>
          </w:tcPr>
          <w:p>
            <w:pPr>
              <w:spacing w:after="0"/>
              <w:rPr>
                <w:sz w:val="17"/>
                <w:szCs w:val="17"/>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6,474</w:t>
            </w:r>
          </w:p>
        </w:tc>
      </w:tr>
      <w:tr>
        <w:trPr>
          <w:trHeight w:val="18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Consumable and other</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14,188</w:t>
            </w:r>
          </w:p>
        </w:tc>
      </w:tr>
      <w:tr>
        <w:trPr>
          <w:trHeight w:val="236"/>
        </w:trPr>
        <w:tc>
          <w:tcPr>
            <w:tcW w:w="1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20,662</w:t>
            </w:r>
          </w:p>
        </w:tc>
      </w:tr>
      <w:tr>
        <w:trPr>
          <w:trHeight w:val="183"/>
        </w:trPr>
        <w:tc>
          <w:tcPr>
            <w:tcW w:w="1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and other revenues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Service-type</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warranties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3"/>
        </w:trPr>
        <w:tc>
          <w:tcPr>
            <w:tcW w:w="1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services</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r>
      <w:tr>
        <w:trPr>
          <w:trHeight w:val="203"/>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services</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36"/>
        </w:trPr>
        <w:tc>
          <w:tcPr>
            <w:tcW w:w="1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w:t>
            </w:r>
          </w:p>
        </w:tc>
      </w:tr>
      <w:tr>
        <w:trPr>
          <w:trHeight w:val="183"/>
        </w:trPr>
        <w:tc>
          <w:tcPr>
            <w:tcW w:w="1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2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Collaboration and</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license revenue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 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 2021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North America</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North America</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3"/>
                <w:szCs w:val="13"/>
                <w:b w:val="1"/>
                <w:bCs w:val="1"/>
                <w:color w:val="auto"/>
              </w:rPr>
              <w:t>EMEA</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Asia Pacific</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revenues</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Instruments</w:t>
            </w: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34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Consumable and other</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products</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27,416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Service and other revenues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Service-type</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warranties</w:t>
            </w:r>
          </w:p>
        </w:tc>
        <w:tc>
          <w:tcPr>
            <w:tcW w:w="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services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services</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Collaboration and</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revenue</w:t>
            </w:r>
          </w:p>
        </w:tc>
        <w:tc>
          <w:tcPr>
            <w:tcW w:w="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two customers accounted for 14.1% and 11.1%, respectively, of the Company’s total revenue. At September 30, 2022, two customers individually accounted for 13.4% and 10.1%, respectively, of the Company’s gross accounts receivable.</w:t>
      </w:r>
    </w:p>
    <w:p>
      <w:pPr>
        <w:spacing w:after="0" w:line="176"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7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 xml:space="preserve">Variable consideration in the Company’s contracts primarily relates to (i) sales- and usage-based royalties related to the license of intellectual property in collaboration and license contracts and (ii) certain non-fixed fee research services contracts. Accounting Standard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r>
      <w:tr>
        <w:trPr>
          <w:trHeight w:val="216"/>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Deferral of revenue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16"/>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(6,452)</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0"/>
        </w:trPr>
        <w:tc>
          <w:tcPr>
            <w:tcW w:w="3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As of September 30, 2022, of the performance obligations not yet satisfied or partially satisfied, $9.0 million is expected to be recognized as revenue in the next 12 months, with the remainder to be recognized within the 24 months thereafter. The $9.0 million at September 30, 2022 principally consists of amounts billed for undelivered services related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to initial and extended service-type warranties and research services, as well as $0.5 million related to undelivered licenses of intellectual property for a diagnostics company (see Note 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Company’s sales commissions are generally based on bookings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Deferral of costs to obtain a contract</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costs to obtain a contract</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3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ASC 606 provides entities with certain practical expedients and accounting policy elections to minimize the cost and burden of adoption.</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will exclude from its transaction price any amounts collected from customers related to sales and other similar taxes.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September 30, 2022 and 2021, respectively.</w:t>
      </w:r>
    </w:p>
    <w:p>
      <w:pPr>
        <w:spacing w:after="0" w:line="183"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Accounting for grants does not fall under ASC 606, as the grantor will not benefit directly from the Company’s expansion or product development. As there is no authoritative guidance under U.S. GAAP on accounting for grants to for-profit business entities from government entities, the Company has accounted for grants obtained with the National Institute of Health (NIH) under its Rapid Acceleration of Diagnostics (RADx) program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grants from the Alzheimer’s Drug Discovery Foundation (ADDF) under ASC Topic 958, </w:t>
      </w:r>
      <w:r>
        <w:rPr>
          <w:rFonts w:ascii="Times New Roman" w:cs="Times New Roman" w:eastAsia="Times New Roman" w:hAnsi="Times New Roman"/>
          <w:sz w:val="18"/>
          <w:szCs w:val="18"/>
          <w:i w:val="1"/>
          <w:iCs w:val="1"/>
          <w:color w:val="auto"/>
        </w:rPr>
        <w:t xml:space="preserve">Not-for-Profit Entities </w:t>
      </w:r>
      <w:r>
        <w:rPr>
          <w:rFonts w:ascii="Times New Roman" w:cs="Times New Roman" w:eastAsia="Times New Roman" w:hAnsi="Times New Roman"/>
          <w:sz w:val="18"/>
          <w:szCs w:val="18"/>
          <w:color w:val="auto"/>
        </w:rPr>
        <w:t>(ASC 958).</w:t>
      </w:r>
    </w:p>
    <w:p>
      <w:pPr>
        <w:spacing w:after="0" w:line="16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Under ASC 958, grants related to income are presented as part of the consolidated statements of operations, either separately or under a general heading. Both methods are acceptable under ASC 958. The Company has elected to record grants related to income separately on the consolidated statements of operations as grant revenue. The related expenses are recorded within operating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RADx grant</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September 29, 2020, the Company entered into a contract with RADx (the RADx Grant), which had a total award value of $18.2 million and accelerated the continued development, scale-up, and deployment of the novel SARS-CoV-2 antigen detection test using the Company’s Simoa technology. The RADx Grant provided funding to expand assay kit manufacturing capacity and commercial deployment readiness. Release of the $18.2 million of funding under the RADx Grant was based on the achievement of certain milestones. Contract funding was subject to achievement of these pre-defined milestones and the contract period ran through September 2021, with one milestone extending to May 31, 2022. The Company has received the full $18.2 million under the RADx Grant and the Company has no future obligations under the RADx Grant.</w:t>
      </w:r>
    </w:p>
    <w:p>
      <w:pPr>
        <w:spacing w:after="0" w:line="19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no grant revenue and incurred no research and development expense related to the RADx Grant. During the three months ended September 30, 2021, the Company recognized $1.0 million in grant revenue and incurred $0.5 million in research and development expense related to the RADx grant. During the nine months ended September 30, 2021, the Company recognized $4.2 million in grant revenue and incurred $3.4 million in research and development expense related to the RADx Grant.</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RADx Grant contains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cumulative activity under the RADx Grant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Grant revenue from research and development activities</w:t>
            </w:r>
          </w:p>
        </w:tc>
        <w:tc>
          <w:tcPr>
            <w:tcW w:w="14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5"/>
                <w:szCs w:val="15"/>
                <w:color w:val="auto"/>
              </w:rPr>
            </w:pP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used for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proceeds for assets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grant revenue</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recognized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accrued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cash received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received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reasonably assured</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RADx Grant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ADDF</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March 24, 2022, the Company entered into a contract with the Alzheimer’s Drug Discovery Foundation (ADDF) (the ADDF Grant). ADDF is a charitable venture philanthropy entity that has granted the Company funding in support of certain activities for the development of an in vitro diagnostic (IVD) test for early detection of Alzheimer's disease. The ADDF Grant, which has a total funding value of $2.3 million, restricts the Company’s use of the granted funds to be used solely for activities related to the Alzheimer’s diagnostic test development project. Contract funding is subject to achievement of these pre-defined milestones and the contract period runs through June 2024. The Company recognizes revenue over time as the related services are performed. As of September 30, 2022, the Company had received $1.3 million of the total funding value of $2.3 million under the ADDF Grant. During the three months ended September 30, 2022, the Company recognized $0.3 million in grant revenue and incurred $0.3 million in research and development expense related to the ADDF Grant. During the nine months ended September 30, 2022, the Company recognized $0.4 million in grant revenue and incurred $0.4 million in research and development expense related to the ADDF Grant.</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Allowance for credit losses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Customers are assessed for credit worthiness upfront through a credit review, which includes assessment based on the Company’s analysis of customers’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Activity related to the allowance for credit losses was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9"/>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18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0"/>
        </w:trPr>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Collaboration and license arrangements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certain licenses with other companies for use of the Company’s technology. These licenses have royalty components which the Company earns and recognizes as collaboration and license revenue throughout the year. At both September 30, 2022 and December 31, 2021, the Company had $0.5 million of deferred revenue related to ongoing negotiations with a diagnostics company.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Abbott Laboratories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29, 2020, the Company entered into a Non-Exclusive License Agreement (the Abbott License Agreement) with Abbott Laboratories (Abbott). Under the terms of the Abbott License Agreement, the Company granted Abbott a non-exclusive, worldwide, royalty-bearing license, without the right to sublicense, under the Company’s bead-based single molecule detection patents (Licensed Patents) in the field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Abbott License Agreement includes customary representations and warranties, covenants and indemnification obligations for a transaction of this nature. The Abbott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8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did not recognize any revenue under the Abbott License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 Net loss per share</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have been excluded from the calculation of diluted net loss per share as their effect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4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2,503,077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2,244,295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2,423,296</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2,244,295</w:t>
            </w:r>
          </w:p>
        </w:tc>
        <w:tc>
          <w:tcPr>
            <w:tcW w:w="20" w:type="dxa"/>
            <w:vAlign w:val="bottom"/>
          </w:tcPr>
          <w:p>
            <w:pPr>
              <w:spacing w:after="0"/>
              <w:rPr>
                <w:sz w:val="18"/>
                <w:szCs w:val="18"/>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902,220</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807,360</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607,118</w:t>
            </w:r>
          </w:p>
        </w:tc>
        <w:tc>
          <w:tcPr>
            <w:tcW w:w="20" w:type="dxa"/>
            <w:vAlign w:val="bottom"/>
          </w:tcPr>
          <w:p>
            <w:pPr>
              <w:spacing w:after="0"/>
              <w:rPr>
                <w:sz w:val="20"/>
                <w:szCs w:val="20"/>
                <w:color w:val="auto"/>
              </w:rPr>
            </w:pPr>
          </w:p>
        </w:tc>
      </w:tr>
      <w:tr>
        <w:trPr>
          <w:trHeight w:val="859"/>
        </w:trPr>
        <w:tc>
          <w:tcPr>
            <w:tcW w:w="3440" w:type="dxa"/>
            <w:vAlign w:val="bottom"/>
          </w:tcPr>
          <w:p>
            <w:pPr>
              <w:spacing w:after="0"/>
              <w:rPr>
                <w:sz w:val="24"/>
                <w:szCs w:val="2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Fair value measurements are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5"/>
                <w:szCs w:val="15"/>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80" w:type="dxa"/>
            <w:vAlign w:val="bottom"/>
          </w:tcPr>
          <w:p>
            <w:pPr>
              <w:spacing w:after="0"/>
              <w:rPr>
                <w:sz w:val="12"/>
                <w:szCs w:val="12"/>
                <w:color w:val="auto"/>
              </w:rPr>
            </w:pPr>
          </w:p>
        </w:tc>
        <w:tc>
          <w:tcPr>
            <w:tcW w:w="9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5"/>
                <w:szCs w:val="15"/>
                <w:color w:val="auto"/>
              </w:rPr>
            </w:pPr>
          </w:p>
        </w:tc>
        <w:tc>
          <w:tcPr>
            <w:tcW w:w="10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24"/>
                <w:szCs w:val="24"/>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2"/>
                <w:szCs w:val="12"/>
                <w:color w:val="auto"/>
              </w:rPr>
            </w:pPr>
          </w:p>
        </w:tc>
        <w:tc>
          <w:tcPr>
            <w:tcW w:w="9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5"/>
                <w:szCs w:val="15"/>
                <w:color w:val="auto"/>
              </w:rPr>
            </w:pPr>
          </w:p>
        </w:tc>
        <w:tc>
          <w:tcPr>
            <w:tcW w:w="10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 Inventory</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4,923</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9,375</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inventory</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22,190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During the third quarter of 2022, the Company identified certain indicators of impairment, including the significant decline in the Company’s stock price, actions taken under the Restructuring Plan and the reduction of forecasted sales and profitability. As a result, the Company performed an interim goodwill impairment test. It was determined that the Company’s goodwill was impaired as the carrying amount of the Company’s sole reporting unit exceeded the estimated fair value. The Company concluded that the entire goodwill balance was impaired and recognized a non-cash impairment charge during the third quarter of 2022.</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carrying value of goodwill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Other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outside services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09"/>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expense for all stock awards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7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6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r>
      <w:tr>
        <w:trPr>
          <w:trHeight w:val="209"/>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$37.1 million of total unrecognized compensation cost related to unvested restricted stock units and stock options, which is expected to be recognized over the remaining weighted-average vesting period of 3.1 years.</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January 28, 2022, the Company executed a lease for 85,800 square feet of office and laboratory space in Bedford, Massachusetts. The lease commencement date was February 1, 2022, when the Company gained access to the underlying facilities. The Company has negotiated a tenant improvement allowance with the landlord which will offset a portion of the Company’s construction costs. The Company has assessed whether improvements made to the premises are landlord-owned or company-owned, with payments made by the Company for landlord-owned assets accounted for as lease incentives. The initial term of the lease’s payment schedule is eight years and nine months beginning on May 1, 2022. The Company has the option to extend the lease for two additional five-year periods. As part of the Restructuring Plan, the Company decided not to utilize these facilities as part of its own operations. During the third quarter of 2022, the Company recorded an impairment of $7.7 million related to the Bedford facilities, including $5.5 million relating to the right-of-use assets and $2.2 million associated with property and equipment.</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 (1)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10"/>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0"/>
        </w:trPr>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638"/>
        <w:spacing w:after="0" w:line="282" w:lineRule="auto"/>
        <w:tabs>
          <w:tab w:leader="none" w:pos="9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costs and variable lease costs incurred by the Company for the three and nine months ended September 30, 2022 were not material.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and cash flow information was as follows (amounts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5"/>
                <w:szCs w:val="15"/>
                <w:color w:val="auto"/>
              </w:rPr>
            </w:pPr>
          </w:p>
        </w:tc>
        <w:tc>
          <w:tcPr>
            <w:tcW w:w="2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5"/>
                <w:szCs w:val="15"/>
                <w:color w:val="auto"/>
              </w:rPr>
            </w:pPr>
          </w:p>
        </w:tc>
      </w:tr>
      <w:tr>
        <w:trPr>
          <w:trHeight w:val="209"/>
        </w:trPr>
        <w:tc>
          <w:tcPr>
            <w:tcW w:w="3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8"/>
                <w:szCs w:val="18"/>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balance sheet information: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years</w:t>
            </w:r>
          </w:p>
        </w:tc>
      </w:tr>
      <w:tr>
        <w:trPr>
          <w:trHeight w:val="216"/>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4"/>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2,532</w:t>
            </w:r>
          </w:p>
        </w:tc>
        <w:tc>
          <w:tcPr>
            <w:tcW w:w="400" w:type="dxa"/>
            <w:vAlign w:val="bottom"/>
          </w:tcPr>
          <w:p>
            <w:pPr>
              <w:spacing w:after="0"/>
              <w:rPr>
                <w:sz w:val="20"/>
                <w:szCs w:val="20"/>
                <w:color w:val="auto"/>
              </w:rPr>
            </w:pPr>
          </w:p>
        </w:tc>
      </w:tr>
    </w:tbl>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Future minimum commitments under the Company’s operating leases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ending September 30,</w:t>
            </w: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16"/>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w:t>
            </w:r>
          </w:p>
        </w:tc>
      </w:tr>
      <w:tr>
        <w:trPr>
          <w:trHeight w:val="209"/>
        </w:trPr>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61,013</w:t>
            </w:r>
          </w:p>
        </w:tc>
      </w:tr>
      <w:tr>
        <w:trPr>
          <w:trHeight w:val="216"/>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w:t>
            </w:r>
          </w:p>
        </w:tc>
      </w:tr>
      <w:tr>
        <w:trPr>
          <w:trHeight w:val="210"/>
        </w:trPr>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42,963</w:t>
            </w:r>
          </w:p>
        </w:tc>
      </w:tr>
      <w:tr>
        <w:trPr>
          <w:trHeight w:val="20"/>
        </w:trPr>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0" w:lineRule="exact"/>
        <w:rPr>
          <w:sz w:val="20"/>
          <w:szCs w:val="20"/>
          <w:color w:val="auto"/>
        </w:rPr>
      </w:pPr>
    </w:p>
    <w:p>
      <w:pPr>
        <w:ind w:left="60" w:right="80" w:firstLine="648"/>
        <w:spacing w:after="0" w:line="277" w:lineRule="auto"/>
        <w:rPr>
          <w:sz w:val="20"/>
          <w:szCs w:val="20"/>
          <w:color w:val="auto"/>
        </w:rPr>
      </w:pPr>
      <w:r>
        <w:rPr>
          <w:rFonts w:ascii="Times New Roman" w:cs="Times New Roman" w:eastAsia="Times New Roman" w:hAnsi="Times New Roman"/>
          <w:sz w:val="17"/>
          <w:szCs w:val="17"/>
          <w:color w:val="auto"/>
        </w:rPr>
        <w:t>The Company recorded provisions for income taxes of $72 thousand and $33 thousand for the three months ended September 30, 2022 and 2021, respectively, and provisions of $10 thousand and $32 thousand for the nine months ended September 30, 2022 and 2021, respectively. The Company's effective tax rates were 0.21% for both the three months ended September 30, 2022 and 2021, respectively, 0.01% and 0.09% for the nine months ended September 30, 2022 and 2021, respectively. The income tax provisions and the effective tax rates are primarily driven by state and international taxes.</w:t>
      </w:r>
    </w:p>
    <w:p>
      <w:pPr>
        <w:spacing w:after="0" w:line="168" w:lineRule="exact"/>
        <w:rPr>
          <w:sz w:val="20"/>
          <w:szCs w:val="20"/>
          <w:color w:val="auto"/>
        </w:rPr>
      </w:pPr>
    </w:p>
    <w:p>
      <w:pPr>
        <w:ind w:left="60"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valuation allowance on the majority of its deferred tax assets, and it has concluded that it is more likely than not that the deferred assets will not be utilized.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left="60"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9" w:lineRule="exact"/>
        <w:rPr>
          <w:sz w:val="20"/>
          <w:szCs w:val="20"/>
          <w:color w:val="auto"/>
        </w:rPr>
      </w:pPr>
    </w:p>
    <w:p>
      <w:pPr>
        <w:ind w:left="60" w:right="100" w:firstLine="648"/>
        <w:spacing w:after="0" w:line="255" w:lineRule="auto"/>
        <w:rPr>
          <w:sz w:val="20"/>
          <w:szCs w:val="20"/>
          <w:color w:val="auto"/>
        </w:rPr>
      </w:pPr>
      <w:r>
        <w:rPr>
          <w:rFonts w:ascii="Times New Roman" w:cs="Times New Roman" w:eastAsia="Times New Roman" w:hAnsi="Times New Roman"/>
          <w:sz w:val="18"/>
          <w:szCs w:val="18"/>
          <w:color w:val="auto"/>
        </w:rPr>
        <w:t>One of the Company’s Directors is affiliated with Harvard University and Mass General Brigham. Revenue recorded from sales to Harvard University and its affiliates and to Mass General Brigham and its affiliates totaled $0.2 million and $0.5 million for the three and nine months ended September 30, 2022, respectively, and $0.2 million for both the three and nine months ended September 30, 2021, respectively. The Company recorded cost of goods sold of $0.1 million for the three months ended September 30, 2022 related to Harvard University and its affiliates and to Mass General Brigham and its affiliates. The Company had $0.2 million in accounts receivable from Harvard University and its affiliates and Mass General Brigham and its affiliates at both September 30, 2022 and December 31, 2021. Deferred</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revenue from Harvard University and its affiliates and Mass General Brigham and its affiliates was $0.1 million at both September 30, 2022 and December 31, 2021.</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May 26, 2022, the Company entered into an agreement with UltraDx Limited (the UltraDx Agreement), a new company formed by ARCH Venture Partners (ARCH). Under the UltraDx Agreement, the Company will supply HD-X instruments (both fully assembled and disassembled) as well as assays and assay components to UltraDx, and UltraDx has the non-exclusive right to seek Chinese regulatory approval of and to commercialize the HD-X instrument and related assays in the Chinese neurological in vitro diagnostic market. The Company has determined that UltraDx is a related party because one of the Company’s directors is affiliated with ARCH and UltraDx. Under the terms of the UltraDx Agreement, the Company shipped a total of ten fully assembled and disassembled HD-X instruments to UltraDx on June 30, 2022 at a purchase price of approximately $1.9 million. Because UltraDx was formed during the second quarter of 2022, the Company recognized revenue on these shipments upon receipt of payment during the three months ended September 30, 2022.</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shows the changes in the components of accumulated other comprehensive loss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3"/>
                <w:szCs w:val="13"/>
                <w:color w:val="auto"/>
              </w:rPr>
            </w:pPr>
          </w:p>
        </w:tc>
        <w:tc>
          <w:tcPr>
            <w:tcW w:w="1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48"/>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70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7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(1,993)</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1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3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Following a strategic review and assessment of the Company’s operations and cost structure, on August 8, 2022, the Company announced a plan of restructuring and strategic re-alignment (the Restructuring Plan). As part of the Restructuring Plan, the Company began an assay redevelopment program with the ultimate objective of improving its ability to manufacture and deliver high-quality assays at scale. The Restructuring Plan aligns the Company’s investments to best serve the needs of its customers, focuses the Company’s innovation efforts on key platforms and provides a foundation for the Company’s entry into translational pharma and clinical markets, which it believes will be required to access new growth categories. In accordance with the Restructuring Plan, the Company implemented a workforce reduction, which was substantially completed by the end of the third quarter of 2022. The Company recorded charges in the three months ended September 30, 2022, consisting of one-time termination benefits for employee severance, benefits and related costs, all of which were cash expenditures.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shows the number of positions by function and by location eliminated in connection with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Restructuring Plan:</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1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EMEA</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headcount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25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part of the Restructuring Plan, the Company also performed an assessment of impairment for long-lived assets, including right-of-use assets, and recorded an impairment charge of $8.7 million. The impairment expense includes $7.7 million associated with the right-of-use and property and equipment at the Bedford facilities (see Note 12). Additionally, the Company recorded an impairment charge of $1.0 million for software costs related to projects that have been rationalized as part of the Restructuring Plan.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presents a rollforward of the restructuring reserve and provision activity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Severance and Employee</w:t>
            </w:r>
          </w:p>
        </w:tc>
        <w:tc>
          <w:tcPr>
            <w:tcW w:w="14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420" w:type="dxa"/>
            <w:vAlign w:val="bottom"/>
          </w:tcPr>
          <w:p>
            <w:pPr>
              <w:spacing w:after="0"/>
              <w:rPr>
                <w:sz w:val="13"/>
                <w:szCs w:val="13"/>
                <w:color w:val="auto"/>
              </w:rPr>
            </w:pPr>
          </w:p>
        </w:tc>
        <w:tc>
          <w:tcPr>
            <w:tcW w:w="138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Benefit Costs</w:t>
            </w:r>
          </w:p>
        </w:tc>
        <w:tc>
          <w:tcPr>
            <w:tcW w:w="14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2021, filed with the Securities and Exchange Commission (the SEC) on March 1, 2022.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Item 1A of Part II, “Risk Factors” and “Special Note Regarding Forward-Looking Statements” included elsewhere in this Quarterly Report on Form 10-Q or under “Risk Factors” in Item 1A of Part I of our Annual Report on Form 10-K for the year ended December 31, 2021.</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spacing w:after="0" w:line="17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8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2019, and by the end of 2021, approximately 68% of the HD instrument installed base was HD-X instruments.</w:t>
      </w:r>
    </w:p>
    <w:p>
      <w:pPr>
        <w:spacing w:after="0" w:line="19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1,900 projects for approximately 440 customers from all over the world using our Simoa platforms.</w:t>
      </w:r>
    </w:p>
    <w:p>
      <w:pPr>
        <w:spacing w:after="0" w:line="180"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 Zealand, Qatar, Saudi Arabia, Singapore, South Africa, South Korea, Taiwan, and UAE. In addition, Uman sells Nf-L antibodies and Nf-L ELISA kits directly, and in conjunction with us and another distributor worldwide. We have an</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extensive base of customers in world class academic and governmental research institutions, as well as pharmaceutical, biotechnology and contract research companies.</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$343.7 million. Since inception, we have incurred annual net losses. Our net losses were $57.7 million, $31.5 million, and $40.8 million for the years ended December 31, 2021, 2020, and 2019, respectively, and $78.1 million and $37.7 million for the nine months ended September 30, 2022 and 2021, respectively. As of September 30, 2022, we had an accumulated deficit of $383.6 million and stockholders' equity of $372.8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On March 24, 2022, we entered into a contract with the Alzheimer’s Drug Discovery Foundation (ADDF). ADDF is a charitable venture philanthropy entity that has granted us funding in support of certain activities for the development of an in vitro diagnostic (IVD) test for early detection of Alzheimer's disease (ADDF Grant). The ADDF Grant, which has a total funding value of $2.3 million, restricts our use of the granted funds to be used solely for activities related to the Alzheimer’s diagnostic test development project. Contract funding is subject to achievement of pre-defined milestones and the contract period runs through June 2024. As of September 30, 2022, we had received $1.3 million out of the full</w:t>
      </w:r>
    </w:p>
    <w:p>
      <w:pPr>
        <w:spacing w:after="0" w:line="5"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$2.3 million funding value under the ADDF Grant. During the three months ended September 30, 2022, we recognized $0.3 million in grant revenue and incurred $0.3 million in research and development expense related to the ADDF Grant. During the nine months ended September 30, 2022, we recognized $0.4 million in grant revenue and incurred $0.4 million in research and development expense related to the ADDF Grant.</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2022, we entered into a Master Collaboration Agreement with Eli Lilly and Company (Lilly) establishing a framework for future projects focused on the development of Simoa immunoassays (the Lilly Collaboration Agreement). We also entered into a statement of work (the Statement of Work) under the Lilly Collaboration Agreement to perform assay research and development services within the field of Alzheimer’s disease. In connection with the Lilly Collaboration Agreement, we received a non-refundable up-front payment of $5.0 million during the first quarter of 2022, and under the Statement of Work receive $1.5 million per calendar quarter during 2022, beginning with the three months ended March 31, 2022. The revenue will be recognized over a one-year period.</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Concurrent with the execution of the Lilly Collaboration Agreement, we entered into a Technology License Agreement (the Lilly License) under which Lilly granted to us a non-exclusive license to Lilly’s proprietary P-tau217 antibody technology for potential near-term use in research-use-only products and services and future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applications within the field of Alzheimer’s disease. In consideration of the Lilly License, we paid an upfront fee, are required to make milestone payments based on the achievement of predetermined regulatory and commercial events, and will pay a royalty on net sales of licensed products.</w:t>
      </w:r>
    </w:p>
    <w:p>
      <w:pPr>
        <w:spacing w:after="0" w:line="187"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concluded that the Lilly Collaboration Agreement and the Lilly License represented a single contract with a customer and are accounting for the agreements as service revenue recognized over time as the services are delivered. The transaction price for the Lilly Collaboration Agreement is $10.9 million. Contingent amounts due to Lilly represent variable consideration payable to a customer and will be recognized as reductions to service revenue up to the amount of the transaction price recognized, when probable. We are utilizing an input method to measure the delivery of services by calculating costs incurred at each period end relative to total costs expected to be incurred.</w:t>
      </w:r>
    </w:p>
    <w:p>
      <w:pPr>
        <w:spacing w:after="0" w:line="18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recognized approximately $2.7 million and $8.1 million, respectively, of revenue from the Lilly Collaboration Agreement as service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and Strategic Re-Alignment</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Following a strategic review and assessment of our operations and cost structure, on August 8, 2022, we announced a plan of restructuring and strategic re-alignment (the Restructuring Plan). As part of this plan, we began an assay redevelopment program with the ultimate objective of improving our ability to manufacture and deliver high-quality assays at scale. The plan aligns our investments to best serve the needs of customers, focuses innovation efforts on key platforms and provides the foundation for our entry into translational pharma and clinical markets, which we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believe will be required to access new growth categories. The restructuring included the elimination of 119 positions across the Company and other cost-saving measures. The workforce reduction was substantially completed by the end of the third quarter of 2022. We recorded a $3.3 million charge in the third quarter of 2022 as a result of the workforce reduction, consisting of one-time termination benefits for employee severance, benefits and related costs. As part of the Restructuring Plan, we are also reviewing alternative uses of the additional facility space that we currently lease in Bedford, Massachusetts. These alternatives may include terminating the lease or the sub-lease of all or a portion of the leased facility. During the three months ended September 30, 2022, we recorded an impairment expense of $7.7 million on our long-lived assets related to the Bedford facilities, as well as a $1.0 million impairment expense related to software projects. Overall, as a result of the Restructuring Plan, we expect to realize estimated annualized operating expense savings of approximately $25 million.</w:t>
      </w:r>
    </w:p>
    <w:p>
      <w:pPr>
        <w:spacing w:after="0" w:line="194"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Despite the Restructuring Plan, we expect to continue to incur significant expenses and operating losses at least through the next 24 months as we</w:t>
      </w:r>
      <w:r>
        <w:rPr>
          <w:rFonts w:ascii="Times New Roman" w:cs="Times New Roman" w:eastAsia="Times New Roman" w:hAnsi="Times New Roman"/>
          <w:sz w:val="18"/>
          <w:szCs w:val="18"/>
          <w:color w:val="0000FF"/>
        </w:rPr>
        <w:t>:</w:t>
      </w:r>
    </w:p>
    <w:p>
      <w:pPr>
        <w:spacing w:after="0" w:line="162"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the Restructuring Plan;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of companies or technologies that may be complementary to our business;</w:t>
      </w:r>
    </w:p>
    <w:p>
      <w:pPr>
        <w:spacing w:after="0" w:line="9" w:lineRule="exact"/>
        <w:rPr>
          <w:rFonts w:ascii="Times New Roman" w:cs="Times New Roman" w:eastAsia="Times New Roman" w:hAnsi="Times New Roman"/>
          <w:sz w:val="18"/>
          <w:szCs w:val="18"/>
          <w:color w:val="auto"/>
        </w:rPr>
      </w:pPr>
    </w:p>
    <w:p>
      <w:pPr>
        <w:jc w:val="both"/>
        <w:ind w:left="1040" w:right="23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products and develop and launch new products, particularly if any of our products are deemed by FDA to be medical devices or otherwise subject to additional regulation by FDA;</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PMA or 510(k) clearance from FDA for our existing products or new products if or when we decide to market products for use in the prevention, diagnosis or treatment of a disease or other condition;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 arrangements or in-license other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September 30, 2021 (dollars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80" w:type="dxa"/>
            <w:vAlign w:val="bottom"/>
            <w:tcBorders>
              <w:bottom w:val="single" w:sz="8" w:color="auto"/>
            </w:tcBorders>
          </w:tcPr>
          <w:p>
            <w:pPr>
              <w:spacing w:after="0"/>
              <w:rPr>
                <w:sz w:val="15"/>
                <w:szCs w:val="15"/>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151 %</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178"/>
        </w:trPr>
        <w:tc>
          <w:tcPr>
            <w:tcW w:w="2980" w:type="dxa"/>
            <w:vAlign w:val="bottom"/>
            <w:shd w:val="clear" w:color="auto" w:fill="CCEEFF"/>
          </w:tcPr>
          <w:p>
            <w:pPr>
              <w:ind w:left="280"/>
              <w:spacing w:after="0" w:line="177" w:lineRule="exact"/>
              <w:rPr>
                <w:sz w:val="20"/>
                <w:szCs w:val="20"/>
                <w:color w:val="auto"/>
              </w:rPr>
            </w:pPr>
            <w:r>
              <w:rPr>
                <w:rFonts w:ascii="Times New Roman" w:cs="Times New Roman" w:eastAsia="Times New Roman" w:hAnsi="Times New Roman"/>
                <w:sz w:val="18"/>
                <w:szCs w:val="18"/>
                <w:color w:val="auto"/>
              </w:rPr>
              <w:t>Total costs of goods sold and</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3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26 %</w:t>
            </w: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(3,704)</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r>
      <w:tr>
        <w:trPr>
          <w:trHeight w:val="209"/>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30,477</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(36,603)</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(15,233)</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(21,370)</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(34,992)</w:t>
            </w: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2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118 %</w:t>
            </w:r>
          </w:p>
        </w:tc>
      </w:tr>
      <w:tr>
        <w:trPr>
          <w:trHeight w:val="20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20" w:type="dxa"/>
            <w:vAlign w:val="bottom"/>
            <w:tcBorders>
              <w:bottom w:val="single" w:sz="8" w:color="auto"/>
            </w:tcBorders>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Total revenue decreased $1.1 million, or 4%, to $26.6 million for the three months ended September 30, 2022, compared to $27.7 million for the three months ended September 30, 2021. Product revenue of $17.7 million for the three months ended September 30, 2022 consisted of instrument sales of $7.8 million and sales of consumables and other products of $9.9 million. This represented a decrease of $3.0 million, or 14%, as compared to product revenue of $20.7 million for the three months ending September 30, 2021, which consisted of $6.5 million in instrument sales and $14.2 million in consumables and other. The decrease in product revenue was primarily due to our management of production levels as we address the quality challenges affecting our consumables.</w:t>
      </w:r>
    </w:p>
    <w:p>
      <w:pPr>
        <w:spacing w:after="0" w:line="189" w:lineRule="exact"/>
        <w:rPr>
          <w:sz w:val="20"/>
          <w:szCs w:val="20"/>
          <w:color w:val="auto"/>
        </w:rPr>
      </w:pPr>
    </w:p>
    <w:p>
      <w:pPr>
        <w:ind w:left="60" w:right="239" w:firstLine="648"/>
        <w:spacing w:after="0" w:line="277" w:lineRule="auto"/>
        <w:rPr>
          <w:sz w:val="20"/>
          <w:szCs w:val="20"/>
          <w:color w:val="auto"/>
        </w:rPr>
      </w:pPr>
      <w:r>
        <w:rPr>
          <w:rFonts w:ascii="Times New Roman" w:cs="Times New Roman" w:eastAsia="Times New Roman" w:hAnsi="Times New Roman"/>
          <w:sz w:val="17"/>
          <w:szCs w:val="17"/>
          <w:color w:val="auto"/>
        </w:rPr>
        <w:t>Service and other revenue was $8.4 million for the three months ended September 30, 2022, compared to $5.9 million for the three months ended September 30, 2021, an increase of $2.7 million, or 42%, primarily due to revenue recognized from the Lilly Collaboration Agreement which was new in 2022. Grant revenue decreased 72% period over period. Grant revenue of $0.3 million in the third quarter of 2022 was related to the ADDF Grant which was new in 2022 and grant revenue of $1.0 million in the third quarter of 2021, was related to the RADx Grant which ended in 2021.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202124"/>
        </w:rPr>
        <w:t>Cost of goods sold and services increased $3.3 million, or 26%, to $15.7 million for the three months ended September 30, 2022 compared to $12.4 million for the three months ended September 30, 2021, primarily due to increased cost of product revenue. Cost of product revenue increased 22% as a result of an increase our inventory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202124"/>
        </w:rPr>
        <w:t>reserve to address manufacturing and quality challenges and discontinued products. This increase was partially offset by the reduction in headcount due to the Restructuring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$0.2 million, or 3%, for the three months ended September 30, 2022, as compared to the same period in 2021, primarily due to the reduction in headcount in connection with the implementation of the Restructuring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$3.7 million, or 16%, for the three months ended September 30, 2022, as compared to the same period in 2021, mainly due to the reduction in headcount in connection with the implementation of the Restructing Plan and a decrease in contracted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part of the Restructuring Plan, we are not utilizing the office and laboratory space leased in Bedford, Massachusetts and are evaluating alternatives, including termination of the lease or sub-leasing the facilities. Other lease costs represent the depreciation expense of the right-of-use asset and the accretion of the lease facility for periods after the impairment and the determination that the facilities would not be utilized. There were no similar charges in the same period in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Goodwill Impairment, and Impairment Expense</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2022, we incurred restructuring expense of $3.4 million, and non-cash impairment expenses of $8.7 million and $8.2 million for long-lived assets, and goodwill, respectively. Included in restructuring expense were costs for severance and one-time termination benefits in connection with the elimination of 119 positions across the Company, associated legal fees and contract cancellation costs due to the implementation of the Restructuring Plan. Impairment expense of $8.7 million includes $7.7 million associated with the Bedford, Massachusetts facilities and $1.0 million associated with the impairment of software costs for projects that have been rationalized as part of the Restructuring Plan. As part of the Restructuring Plan, we are not utilizing the Bedford, Massachusetts facilities and are evaluating alternatives, including terminating the lease or sub-leasing the facilities. The entire goodwill balance was written off during the three months ended September 30, 2022, following the assessment of our interim goodwill impairment test. There were no similar charges in the same period in 2021.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Interest income (expense), net was income of $1.7 million for the three months ended September 30, 2022, as compared to an expense of $0.1 million in the same period in 2021, due to the maturity of our note payable in the fourth quarter of 2021 and higher interest income on our cash equivalents during the three months ended September 30, 2022.</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net was an expense of $0.1 million in the three months ended September 30, 2022, as compared to income of $0.3 million in the same period in 2021, mainly due to the impact of foreign currency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Income tax provision was $0.1 million for the three months ended September 30, 2022, and less than $0.1 million for the three months ended September 30, 2021, consisting primarily of provisions recorded on the operating results of our foreign subsidiaries.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September 30, 2021 (dollars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80" w:type="dxa"/>
            <w:vAlign w:val="bottom"/>
            <w:tcBorders>
              <w:bottom w:val="single" w:sz="8" w:color="auto"/>
            </w:tcBorders>
          </w:tcPr>
          <w:p>
            <w:pPr>
              <w:spacing w:after="0"/>
              <w:rPr>
                <w:sz w:val="15"/>
                <w:szCs w:val="15"/>
                <w:color w:val="auto"/>
              </w:rPr>
            </w:pPr>
          </w:p>
        </w:tc>
      </w:tr>
      <w:tr>
        <w:trPr>
          <w:trHeight w:val="142"/>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revenue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(3,885)</w:t>
            </w: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79,698</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80,269</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178"/>
        </w:trPr>
        <w:tc>
          <w:tcPr>
            <w:tcW w:w="2980" w:type="dxa"/>
            <w:vAlign w:val="bottom"/>
            <w:shd w:val="clear" w:color="auto" w:fill="CCEEFF"/>
          </w:tcPr>
          <w:p>
            <w:pPr>
              <w:ind w:left="280"/>
              <w:spacing w:after="0" w:line="177" w:lineRule="exact"/>
              <w:rPr>
                <w:sz w:val="20"/>
                <w:szCs w:val="20"/>
                <w:color w:val="auto"/>
              </w:rPr>
            </w:pPr>
            <w:r>
              <w:rPr>
                <w:rFonts w:ascii="Times New Roman" w:cs="Times New Roman" w:eastAsia="Times New Roman" w:hAnsi="Times New Roman"/>
                <w:sz w:val="18"/>
                <w:szCs w:val="18"/>
                <w:color w:val="auto"/>
              </w:rPr>
              <w:t>Total costs of goods sold and</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3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31 %</w:t>
            </w:r>
          </w:p>
        </w:tc>
      </w:tr>
      <w:tr>
        <w:trPr>
          <w:trHeight w:val="20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w:t>
            </w:r>
          </w:p>
        </w:tc>
        <w:tc>
          <w:tcPr>
            <w:tcW w:w="10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lease costs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r>
      <w:tr>
        <w:trPr>
          <w:trHeight w:val="216"/>
        </w:trPr>
        <w:tc>
          <w:tcPr>
            <w:tcW w:w="2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r>
      <w:tr>
        <w:trPr>
          <w:trHeight w:val="209"/>
        </w:trPr>
        <w:tc>
          <w:tcPr>
            <w:tcW w:w="2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113,963</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84,157</w:t>
            </w: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(2,154)</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10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(40,479)</w:t>
            </w:r>
          </w:p>
        </w:tc>
        <w:tc>
          <w:tcPr>
            <w:tcW w:w="20" w:type="dxa"/>
            <w:vAlign w:val="bottom"/>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(78,119)</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20" w:type="dxa"/>
            <w:vAlign w:val="bottom"/>
            <w:tcBorders>
              <w:bottom w:val="single" w:sz="8" w:color="auto"/>
            </w:tcBorders>
          </w:tcPr>
          <w:p>
            <w:pPr>
              <w:spacing w:after="0"/>
              <w:rPr>
                <w:sz w:val="18"/>
                <w:szCs w:val="18"/>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Total revenue was $79.7 million for the nine months ended September 30, 2022 compared to $80.3 million for the nine months ended September 30, 2021, a decrease of $0.6 million, or 1%. Product revenue of $53.1 million for the nine months ended September 30, 2022, which consisted of instrument sales of $19.6 million and sales of consumables and other products of $33.5 million. This represented a decrease of $4.5 million, or 8%, as compared to $57.6 million for the nine months ended September 30, 2021, which consisted instrument sales of $19.3 million and sales of consumables and other products of $38.3 million. This decrease in revenue was primarily due to quality issues with our consumables product and, in the third quarter of 2022, the management of production levels as we ensure we deliver quality products to our customers while we address the quality challenges affecting our consumables.</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Service and other revenue was $25.7 million for the nine months ended September 30, 2022 compared to $18.0 million for the nine months ended September 30, 2021, an increase of $7.8 million, or 43% ,primarily due to revenue recognized from the Lilly Collaboration Agreement which was new in 2022. Grant revenue decreased 92% period over period. Grant revenue of $0.4 million in the nine months ended September 30, 2022 was related to the ADDF grant which was new in 2022 and grant revenue of $4.2 million in the same period of 2021 was related to the RADx grant which ended in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202124"/>
        </w:rPr>
        <w:t>Cost of goods sold and service increased $10.7 million, or 31%, to $45.5 million for the nine months ended September 30, 2022 compared to $34.8 million for the nine months ended September 30, 2021. Cost of product revenue increased 29% as a result of increasing our inventory reserve to reflect the ongoing efforts to address manufacturing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202124"/>
        </w:rPr>
        <w:t>quality challenges, and discontinued products. Cost of service revenue increased by 35% mainly due to a change in the way certain costs are allocated in the nine months ended September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was consistent at $20.3 million for the nine months ended September 30, 2022 and $20.2 million for the same period in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$8.8 million, or 14%, for the nine months ended September 30, 2022, as compared to the same period in 2021, mainly due to additional headcount driving increased cash compensation expense, stock-based compensation expense, and other general and administrative expenses prior to the implementation of our Restructuring Plan. Rent expense increased for the nine months ended September 30, 2022 due to the new leased facilities in Bedford, Massachusetts that commenced on February 1, 2022 when we gained access to the underlying facilities prior to the implementation of our Restructuring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As part of the Restructuring Plan implemented during the third quarter of 2022, we are not utilizing the office and laboratory space leased in Bedford, Massachusetts and are evaluating alternatives, including termination of the lease or sub-leasing the facilities. Other lease costs represent the depreciation expense of the right-of-use asset and the accretion of the lease facility for periods after the impairment and determination the facilities would not be utilized.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Goodwill Impairment, and Impairment Expense</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2022, we incurred restructuring expense of $3.4 million, and non-cash impairment expenses of $8.7 million and $8.2 million for long-lived assets, and goodwill, respectively. Included in restructuring expense were costs for severance and one-time termination benefits in connection with the elimination of 119 positions across the Company, associated legal fees and contract cancellation costs due to the implementation of the Restructuring Plan. Impairment expense of $8.7 million includes $7.7 million associated with the Bedford, Massachusetts facilities and $1.0 million associated with the impairment of software costs for projects that have been rationalized as part of the Restructuring Plan. As part of the Restructuring Plan, we are not utilizing these facilities and are evaluating alternatives, including termination of the lease or sub-leasing the facilities. The entire goodwill balance was written off during the nine months ended September 30, 2022, following the assessment of our interim goodwill impairment test. There were no similar charges in the same period in 2021.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Interest income (expense), net was income of $2.3 million in the nine months ended September 30, 2022, as compared to an expense of $0.4 million in the same period in 2021, due to the maturity of our note payable in the fourth quarter of 2021 and higher interest income on our cash equivalents during the nine months ended September 30, 2022.</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Other (expense) income, net was an expense of $0.7 million in the nine months ended September 30, 2022, as compared to income of $1.5 million in the same period in 2021. Other expense, net for the nine months of 2022 was mainly due to the impact of foreign currency exchange rates. Other income, net for the nine months of 2021 was mainly due to a $2.1 million employee retention tax credit established under the Coronavirus Aid, Relief, and Economic Security Act.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Income tax provision was less than $0.1 million in both the nine months ended September 30, 2022 and 2021, consisting primarily of provisions recorded on the operating results of our foreign subsidiaries.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equity offerings, borrowings from credit facilities and revenue from our commercial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cash flows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271,646</w:t>
            </w: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(52,196)</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229,887</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invest in process improvements. We have historically experienced negative cash flows from operating activities as we have developed our technology, expanded our business and built our infrastructure and this may continue in the future.</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$44.2 million during the nine months ended September 30, 2022. The net cash used in operating activities primarily consisted of the net loss of $78.1 million offset by non-cash charges of $11.8 million of stock-based compensation expense, impairment of long-lived assets of $8.7 million, impairment of goodwill of $8.2 million and $4.2 million of depreciation.</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$37.6 million during the nine months ended September 30, 2021. The net cash used in operating activities primarily consisted of the net loss of $37.7 million offset by non-cash charges of $11.0 million of stock-based compensation expense and $3.6 million of depreciation and amortization expense. Cash used as a result of changes in operating assets and liabilities of $15.6 million was primarily due to an increase in inventory of $8.4 million, a decrease in accrued compensation and benefits, other accrued expenses and other current liabilities of $2.7 million, and an increase in accounts receivable of $1.6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76"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used $10.1 million in cash during the nine months ended September 30, 2022 primarily related to purchases of property and equipment for the new leased facility in Bedford, Massachusetts, offset by $0.5 million of grant proceeds.</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used $4.1 million in cash during the nine months ended September 30, 2021 primarily related to $11.2 million in purchases of property and equipment, offset by $7.0 million in grant proceeds related to the RADx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sales of our stock, borrowings from credit facilities and revenues from our commercial operations.</w:t>
      </w:r>
    </w:p>
    <w:p>
      <w:pPr>
        <w:spacing w:after="0" w:line="162"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Financing activities provided $1.6 million of cash during the nine months ended September 30, 2022, from proceeds from employee stock purchases and stock option exercises.</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$271.6 million of cash during the nine months ended September 30, 2021, primarily from $269.7 million in net proceeds from our underwritten public offering during the first quarter of 2021, and $6.6 million in proceeds from common stock option exercises, offset by $5.7 million in payments on notes payable.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7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annual net losses. Our liquidity requirements have historically consisted, and we expect that they will continue to consist, of sales and marketing expenses, research and development expenses, working capital, debt service and general corporate expenses.</w:t>
      </w:r>
    </w:p>
    <w:p>
      <w:pPr>
        <w:spacing w:after="0" w:line="21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believe cash generated from commercial sales, our current cash and cash equivalents, and interest income we earn on these balances will be sufficient to meet our anticipated operating cash requirements for at least the next 12 months.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Part II, Item 1A. “Risk Factors”, of this Quarterly Report on Form 10-Q, and Item 1A, “Risk Factors” of our Annual Report on Form 10-K for the year ended December 31, 2021 We have based our estimates on assumptions that may prove to be wrong and we could utilize our available capital resources sooner than we currently expect. Our future funding requirements will depend on many factors, including:</w:t>
      </w:r>
    </w:p>
    <w:p>
      <w:pPr>
        <w:spacing w:after="0" w:line="215" w:lineRule="exact"/>
        <w:rPr>
          <w:sz w:val="20"/>
          <w:szCs w:val="20"/>
          <w:color w:val="auto"/>
        </w:rPr>
      </w:pP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and realize the intended benefits of the Restructuring Plan;</w:t>
      </w:r>
    </w:p>
    <w:p>
      <w:pPr>
        <w:spacing w:after="0" w:line="27"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ability to introduce new products;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additional sales, marketing and distribution capabilities;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in the future, and the success of any such collaborations;</w:t>
      </w:r>
    </w:p>
    <w:p>
      <w:pPr>
        <w:spacing w:after="0" w:line="9" w:lineRule="exact"/>
        <w:rPr>
          <w:rFonts w:ascii="Times New Roman" w:cs="Times New Roman" w:eastAsia="Times New Roman" w:hAnsi="Times New Roman"/>
          <w:sz w:val="18"/>
          <w:szCs w:val="18"/>
          <w:color w:val="auto"/>
        </w:rPr>
      </w:pPr>
    </w:p>
    <w:p>
      <w:pPr>
        <w:ind w:left="1380" w:right="179" w:hanging="655"/>
        <w:spacing w:after="0" w:line="250"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potential regulatory clearances or approvals that may be required in the future for our products; and</w:t>
      </w:r>
    </w:p>
    <w:p>
      <w:pPr>
        <w:ind w:left="1380" w:hanging="655"/>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or debt offerings or other financings.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0" w:right="53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2022, except for the Bedford, Massachusetts lease detailed in Note 12 to our unaudited condensed consolidated financial statements, there have been no material changes to our contractual obligations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commitments from those described under “Management’s Discussion and Analysis of Financial Condition and Results of Operations” included in our Annual Report on Form 10-K for the year ended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Significant Judgments and Estimates</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7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2021.</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disclosed therein.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there have been no material changes to the market risk information, except for concentrations noted below, described under “Quantitative and Qualitative Disclosures About Market Risk” included in the Annual Report on Form 10-K for the year ended December 31, 2021.</w:t>
      </w:r>
    </w:p>
    <w:p>
      <w:pPr>
        <w:spacing w:after="0" w:line="1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there was one customer that accounted for 14.1% and 11.1%, respectively, of our total revenue.</w:t>
      </w:r>
    </w:p>
    <w:p>
      <w:pPr>
        <w:spacing w:after="0" w:line="162"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two customers individually accounted for 13.4% and 10.1%, respectively, of our gross accounts receivable.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2022. The term “disclosure controls and procedures,” as defined in Rules 13a-15(e) and 15d-15(e) under the Securities and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controls and procedures. Our disclosure controls and procedures are designed to provide a reasonable assurance of achieving their objectives.</w:t>
      </w:r>
    </w:p>
    <w:p>
      <w:pPr>
        <w:spacing w:after="0" w:line="162"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2022, our principal executive officer and principal financial officer concluded that, as of such date, the Company’s disclosure controls and procedures were effective at the reasonable assurance level.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September 30, 2022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Annual Report on Form 10-K for the year ended December 31, 2021, filed with the SEC on March 1, 2022, except that the following risk factor replaces the risk factor with the same title as set forth in our Quarterly Report on Form 10-Q for the quarter ended June 30, 2022, filed with the SEC on August 8,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achieve the expected cost savings and related benefits from our Restructuring Plan.</w:t>
      </w:r>
    </w:p>
    <w:p>
      <w:pPr>
        <w:spacing w:after="0" w:line="121"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August 2022, we announced a plan of restructuring and strategic re-alignment, which included the elimination of approximately 119 current positions, or 25% of our workforce, and other cost-savings measures (the Restructuring Plan). We incurred expenses of approximately $3.4 million related to the Restructuring Plan in the third quarter of 2022, substantially all of which were cash expenditures for severance and other costs relating to the Restructuring Plan.</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Overall, we expect to realize estimated annualized operating expense savings of approximately $25.0 million. These estimates are subject to a number of assumptions, and actual results may differ. There is no guarantee that the Restructuring Plan will achieve its intended benefits. For example, our cost restructuring and business re-alignment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make it more difficult to attract and retain qualified personnel, each of which could have an adverse effect on our business. We may implement other cost savings measures as part of the Restructuring Plan, and may incur termination and other costs in connection with such measures, which could be material. As part of the Restructuring Plan, we are also reviewing our alternatives with respect to additional facility space that we currently lease in Bedford, Massachusetts. These alternatives may include the termination of the lease or the sub-lease of all or a portion of the leased facility.</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may fail to effectively execute on the Restructuring Plan. The Restructuring Plan may cause disruption to our business operations. For example, the Restructuring Plan resulted in the loss of a number of long-term employees, resulting in the loss of institutional knowledge and expertise and the reallocation and combination of certain roles and responsibilities across our organization, all of which could adversely affect our operations. In addition, we may not be able to effectively realize all the cost savings anticipated by the Restructuring Plan and we may incur unanticipated charges or make cash payments that were not previously contemplated, which could result in an adverse effect on our business or results of operations. In connection with the Restructuring Plan, we have set in motion an assay improvement program with the ultimate objective of improving our ability to manufacture and deliver high-quality assays at scale. We expect to make initial progress toward this initiative in 2022 and that the program will be completed in 2023. We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unable to obtain the anticipated product and quality-related benefits from these efforts in the timeframe anticipated, or at all, which could have an adverse effect on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 herein</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6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w:t>
            </w:r>
          </w:p>
        </w:tc>
        <w:tc>
          <w:tcPr>
            <w:tcW w:w="0" w:type="dxa"/>
            <w:vAlign w:val="bottom"/>
          </w:tcPr>
          <w:p>
            <w:pPr>
              <w:spacing w:after="0"/>
              <w:rPr>
                <w:sz w:val="1"/>
                <w:szCs w:val="1"/>
                <w:color w:val="auto"/>
              </w:rPr>
            </w:pPr>
          </w:p>
        </w:tc>
      </w:tr>
      <w:tr>
        <w:trPr>
          <w:trHeight w:val="195"/>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60" w:type="dxa"/>
            <w:vAlign w:val="bottom"/>
            <w:gridSpan w:val="9"/>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98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Amended and Restated Certificate of Incorporation.</w:t>
              </w:r>
            </w:hyperlink>
          </w:p>
        </w:tc>
        <w:tc>
          <w:tcPr>
            <w:tcW w:w="1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3900" w:type="dxa"/>
            <w:vAlign w:val="bottom"/>
            <w:gridSpan w:val="1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Restated Bylaws.</w:t>
              </w:r>
            </w:hyperlink>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12/15/2017</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35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Employment Agreement between Dan Pikora and</w:t>
              </w:r>
            </w:hyperlink>
          </w:p>
        </w:tc>
        <w:tc>
          <w:tcPr>
            <w:tcW w:w="3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9/8/2022</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1"/>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the Company dated March 28, 2022.</w:t>
              </w:r>
            </w:hyperlink>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38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Separation Agreement between E. Kevin Hrusovsky</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8/8/2022</w:t>
            </w:r>
          </w:p>
        </w:tc>
        <w:tc>
          <w:tcPr>
            <w:tcW w:w="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1"/>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and the Company, effective August 8, 2022.</w:t>
              </w:r>
            </w:hyperlink>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24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of 2002.</w:t>
            </w:r>
          </w:p>
        </w:tc>
        <w:tc>
          <w:tcPr>
            <w:tcW w:w="3300" w:type="dxa"/>
            <w:vAlign w:val="bottom"/>
            <w:gridSpan w:val="10"/>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3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w:t>
            </w:r>
          </w:p>
        </w:tc>
        <w:tc>
          <w:tcPr>
            <w:tcW w:w="520" w:type="dxa"/>
            <w:vAlign w:val="bottom"/>
            <w:gridSpan w:val="6"/>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pursuant to Section 302 of the Sarbanes-Oxley Act</w:t>
            </w:r>
          </w:p>
        </w:tc>
        <w:tc>
          <w:tcPr>
            <w:tcW w:w="24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of 2002.</w:t>
            </w:r>
          </w:p>
        </w:tc>
        <w:tc>
          <w:tcPr>
            <w:tcW w:w="3300" w:type="dxa"/>
            <w:vAlign w:val="bottom"/>
            <w:gridSpan w:val="10"/>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3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and</w:t>
            </w:r>
          </w:p>
        </w:tc>
        <w:tc>
          <w:tcPr>
            <w:tcW w:w="140" w:type="dxa"/>
            <w:vAlign w:val="bottom"/>
            <w:gridSpan w:val="2"/>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Principal Financial Officer pursuant to Section 906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of the Sarbanes-Oxley Act of 2002.</w:t>
            </w:r>
          </w:p>
        </w:tc>
        <w:tc>
          <w:tcPr>
            <w:tcW w:w="1040" w:type="dxa"/>
            <w:vAlign w:val="bottom"/>
            <w:tcBorders>
              <w:top w:val="single" w:sz="8" w:color="0000EE"/>
            </w:tcBorders>
            <w:gridSpan w:val="4"/>
          </w:tcPr>
          <w:p>
            <w:pPr>
              <w:spacing w:after="0"/>
              <w:rPr>
                <w:sz w:val="19"/>
                <w:szCs w:val="19"/>
                <w:color w:val="auto"/>
              </w:rPr>
            </w:pPr>
          </w:p>
        </w:tc>
        <w:tc>
          <w:tcPr>
            <w:tcW w:w="240" w:type="dxa"/>
            <w:vAlign w:val="bottom"/>
            <w:gridSpan w:val="4"/>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7"/>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QUANTERIX CORPORATION</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9, 2022</w:t>
            </w: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Masoud Toloue</w:t>
            </w:r>
          </w:p>
        </w:tc>
      </w:tr>
      <w:tr>
        <w:trPr>
          <w:trHeight w:val="191"/>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9, 2022</w:t>
            </w:r>
          </w:p>
        </w:tc>
        <w:tc>
          <w:tcPr>
            <w:tcW w:w="55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Michael A. Doyle</w:t>
            </w:r>
          </w:p>
        </w:tc>
      </w:tr>
      <w:tr>
        <w:trPr>
          <w:trHeight w:val="191"/>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Masoud Toloue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Doyle, certify that:</w:t>
      </w:r>
    </w:p>
    <w:p>
      <w:pPr>
        <w:spacing w:after="0" w:line="225"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Quanterix Corporation;</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80" w:hanging="4"/>
        <w:spacing w:after="0" w:line="266"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600" w:hanging="4"/>
        <w:spacing w:after="0" w:line="266" w:lineRule="auto"/>
        <w:tabs>
          <w:tab w:leader="none" w:pos="13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320" w:hanging="4"/>
        <w:spacing w:after="0" w:line="282" w:lineRule="auto"/>
        <w:tabs>
          <w:tab w:leader="none" w:pos="13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 Doyle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period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9,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Masoud Toloue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Masoud Toloue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9,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Doyle</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Doyle</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0" Type="http://schemas.openxmlformats.org/officeDocument/2006/relationships/hyperlink" Target="https://www.sec.gov/Archives/edgar/data/1503274/000110465917073618/a17-28479_1ex3d1.htm#Exhibit3_1.htm" TargetMode="External"/><Relationship Id="rId51" Type="http://schemas.openxmlformats.org/officeDocument/2006/relationships/hyperlink" Target="https://www.sec.gov/Archives/edgar/data/1503274/000110465917073618/a17-28479_1ex3d2.htm#Exhibit3_2.htm" TargetMode="External"/><Relationship Id="rId52" Type="http://schemas.openxmlformats.org/officeDocument/2006/relationships/hyperlink" Target="https://www.sec.gov/Archives/edgar/data/1503274/000110465922098528/tm2225382d1_ex10-1.htm" TargetMode="External"/><Relationship Id="rId53" Type="http://schemas.openxmlformats.org/officeDocument/2006/relationships/hyperlink" Target="https://www.sec.gov/Archives/edgar/data/1503274/000110465922087235/tm222281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2022-11-09T08:12:09Z</dcterms:created>
  <dcterms:modified xsi:type="dcterms:W3CDTF">2022-11-09T08:12:09Z</dcterms:modified>
</cp:coreProperties>
</file>