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Faessler Jason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06/22/2026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jason_faessler-poa.txt"/>
      <w:bookmarkStart w:id="3" w:name="ksjason_faesslerpoa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Daniel Char, Michael Lanieri and Meghan Shevlin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 beneficial owner of Quanterix Corporation (the "Company"), Forms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 and Schedules 13D and 13G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13 of 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such Form 3, 4, or 5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Schedules 13D or 13G,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and any securities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granted, as fully to all intents and purposes as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might 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by virtue of this power of attorney and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granted. The undersigned also ratifies hereby any action previously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taken by each attorney-in-fact that would have been authorized by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if it had been in effect at the time such action was taken.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each foregoing attorney-in-fact, in serving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capacity at the request of the undersigned, is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Sections 13 and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supersedes all previously granted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execution of the forms and schedules described in paragraph (1)</w:t>
      </w:r>
    </w:p>
    <w:p>
      <w:pPr>
        <w:pStyle w:val="PreformattedText"/>
        <w:bidi w:val="0"/>
        <w:spacing w:before="0" w:after="0"/>
        <w:jc w:val="left"/>
        <w:rPr/>
      </w:pPr>
      <w:r>
        <w:rPr/>
        <w:t>above. 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and Schedules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13G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unless earlier revoked by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 signed writing delivered to each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executed as of this 16th day of June 2026.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1457" TargetMode="External"/><Relationship Id="rId3" Type="http://schemas.openxmlformats.org/officeDocument/2006/relationships/hyperlink" Target="http://www.sec.gov/cgi-bin/browse-edgar?action=getcompany&amp;CIK=000150327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919</Words>
  <Characters>4904</Characters>
  <CharactersWithSpaces>5739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