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8" w:lineRule="exact"/>
        <w:rPr>
          <w:sz w:val="24"/>
          <w:szCs w:val="24"/>
          <w:color w:val="auto"/>
        </w:rPr>
      </w:pPr>
    </w:p>
    <w:p>
      <w:pPr>
        <w:ind w:left="4240" w:right="3500" w:hanging="4214"/>
        <w:spacing w:after="0" w:line="583" w:lineRule="auto"/>
        <w:tabs>
          <w:tab w:leader="none" w:pos="438"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513" w:right="339" w:bottom="1440" w:gutter="0" w:footer="0" w:header="0"/>
        </w:sectPr>
      </w:pPr>
    </w:p>
    <w:p>
      <w:pPr>
        <w:spacing w:after="0" w:line="339" w:lineRule="exact"/>
        <w:rPr>
          <w:sz w:val="24"/>
          <w:szCs w:val="24"/>
          <w:color w:val="auto"/>
        </w:rPr>
      </w:pPr>
    </w:p>
    <w:p>
      <w:pPr>
        <w:ind w:left="4260"/>
        <w:spacing w:after="0"/>
        <w:tabs>
          <w:tab w:leader="none" w:pos="6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Commission File Number: 001-38319</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5" w:lineRule="exact"/>
        <w:rPr>
          <w:sz w:val="24"/>
          <w:szCs w:val="24"/>
          <w:color w:val="auto"/>
        </w:rPr>
      </w:pPr>
    </w:p>
    <w:p>
      <w:pPr>
        <w:sectPr>
          <w:pgSz w:w="11900" w:h="16838" w:orient="portrait"/>
          <w:cols w:equalWidth="0" w:num="2">
            <w:col w:w="6760" w:space="200"/>
            <w:col w:w="4280"/>
          </w:cols>
          <w:pgMar w:left="320" w:top="513" w:right="3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48" w:lineRule="exact"/>
        <w:rPr>
          <w:sz w:val="24"/>
          <w:szCs w:val="24"/>
          <w:color w:val="auto"/>
        </w:rPr>
      </w:pPr>
    </w:p>
    <w:tbl>
      <w:tblPr>
        <w:tblLayout w:type="fixed"/>
        <w:tblInd w:w="1700" w:type="dxa"/>
        <w:tblCellMar>
          <w:top w:w="0" w:type="dxa"/>
          <w:left w:w="0" w:type="dxa"/>
          <w:bottom w:w="0" w:type="dxa"/>
          <w:right w:w="0" w:type="dxa"/>
        </w:tblCellMar>
      </w:tblP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20-8957988</w:t>
            </w: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60" w:type="dxa"/>
            <w:vAlign w:val="bottom"/>
          </w:tcPr>
          <w:p>
            <w:pPr>
              <w:jc w:val="center"/>
              <w:ind w:left="160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7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900 Middlesex Turnpike</w:t>
            </w:r>
          </w:p>
        </w:tc>
        <w:tc>
          <w:tcPr>
            <w:tcW w:w="3660" w:type="dxa"/>
            <w:vAlign w:val="bottom"/>
          </w:tcPr>
          <w:p>
            <w:pPr>
              <w:spacing w:after="0"/>
              <w:rPr>
                <w:sz w:val="23"/>
                <w:szCs w:val="23"/>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Billerica, MA</w:t>
            </w:r>
          </w:p>
        </w:tc>
        <w:tc>
          <w:tcPr>
            <w:tcW w:w="366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01821</w:t>
            </w: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60" w:type="dxa"/>
            <w:vAlign w:val="bottom"/>
          </w:tcPr>
          <w:p>
            <w:pPr>
              <w:jc w:val="center"/>
              <w:ind w:left="1608"/>
              <w:spacing w:after="0"/>
              <w:rPr>
                <w:sz w:val="20"/>
                <w:szCs w:val="20"/>
                <w:color w:val="auto"/>
              </w:rPr>
            </w:pPr>
            <w:r>
              <w:rPr>
                <w:rFonts w:ascii="Times New Roman" w:cs="Times New Roman" w:eastAsia="Times New Roman" w:hAnsi="Times New Roman"/>
                <w:sz w:val="14"/>
                <w:szCs w:val="14"/>
                <w:color w:val="auto"/>
              </w:rPr>
              <w:t>(Zip Code)</w:t>
            </w:r>
          </w:p>
        </w:tc>
      </w:tr>
      <w:tr>
        <w:trPr>
          <w:trHeight w:val="284"/>
        </w:trPr>
        <w:tc>
          <w:tcPr>
            <w:tcW w:w="3460" w:type="dxa"/>
            <w:vAlign w:val="bottom"/>
          </w:tcPr>
          <w:p>
            <w:pPr>
              <w:spacing w:after="0"/>
              <w:rPr>
                <w:sz w:val="24"/>
                <w:szCs w:val="24"/>
                <w:color w:val="auto"/>
              </w:rPr>
            </w:pPr>
          </w:p>
        </w:tc>
        <w:tc>
          <w:tcPr>
            <w:tcW w:w="3660" w:type="dxa"/>
            <w:vAlign w:val="bottom"/>
          </w:tcPr>
          <w:p>
            <w:pPr>
              <w:jc w:val="right"/>
              <w:ind w:right="2668"/>
              <w:spacing w:after="0"/>
              <w:rPr>
                <w:sz w:val="20"/>
                <w:szCs w:val="20"/>
                <w:color w:val="auto"/>
              </w:rPr>
            </w:pPr>
            <w:r>
              <w:rPr>
                <w:rFonts w:ascii="Times New Roman" w:cs="Times New Roman" w:eastAsia="Times New Roman" w:hAnsi="Times New Roman"/>
                <w:sz w:val="14"/>
                <w:szCs w:val="14"/>
                <w:b w:val="1"/>
                <w:bCs w:val="1"/>
                <w:color w:val="auto"/>
              </w:rPr>
              <w:t>(617) 301-9400</w:t>
            </w: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7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r>
      <w:tr>
        <w:trPr>
          <w:trHeight w:val="230"/>
        </w:trPr>
        <w:tc>
          <w:tcPr>
            <w:tcW w:w="338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186"/>
        </w:trPr>
        <w:tc>
          <w:tcPr>
            <w:tcW w:w="33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QTRX</w:t>
            </w: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3"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ind w:left="114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Accelerated filer</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x</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60" w:type="dxa"/>
            <w:vAlign w:val="bottom"/>
          </w:tcPr>
          <w:p>
            <w:pPr>
              <w:ind w:left="114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bl>
    <w:p>
      <w:pPr>
        <w:spacing w:after="0" w:line="190"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6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As of July 31, 2025, the registrant had 46,465,915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20" w:type="dxa"/>
            <w:vAlign w:val="bottom"/>
            <w:gridSpan w:val="4"/>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QUANTERIX CORPORATION</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20" w:type="dxa"/>
            <w:vAlign w:val="bottom"/>
            <w:gridSpan w:val="4"/>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3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Regarding Forward-Looking Statements</w:t>
            </w:r>
          </w:p>
        </w:tc>
        <w:tc>
          <w:tcPr>
            <w:tcW w:w="5820" w:type="dxa"/>
            <w:vAlign w:val="bottom"/>
            <w:gridSpan w:val="7"/>
          </w:tcPr>
          <w:p>
            <w:pPr>
              <w:spacing w:after="0"/>
              <w:rPr>
                <w:sz w:val="24"/>
                <w:szCs w:val="24"/>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880" w:type="dxa"/>
            <w:vAlign w:val="bottom"/>
            <w:gridSpan w:val="9"/>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Financial Statements (Unaudited)</w:t>
            </w:r>
          </w:p>
        </w:tc>
        <w:tc>
          <w:tcPr>
            <w:tcW w:w="6160" w:type="dxa"/>
            <w:vAlign w:val="bottom"/>
            <w:gridSpan w:val="10"/>
          </w:tcPr>
          <w:p>
            <w:pPr>
              <w:spacing w:after="0"/>
              <w:rPr>
                <w:sz w:val="20"/>
                <w:szCs w:val="20"/>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120" w:type="dxa"/>
            <w:vAlign w:val="bottom"/>
            <w:gridSpan w:val="4"/>
          </w:tcPr>
          <w:p>
            <w:pPr>
              <w:spacing w:after="0"/>
              <w:rPr>
                <w:sz w:val="20"/>
                <w:szCs w:val="20"/>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1011"/>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120" w:type="dxa"/>
            <w:vAlign w:val="bottom"/>
            <w:gridSpan w:val="2"/>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220" w:type="dxa"/>
            <w:vAlign w:val="bottom"/>
            <w:gridSpan w:val="3"/>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800" w:type="dxa"/>
            <w:vAlign w:val="bottom"/>
            <w:gridSpan w:val="14"/>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180" w:type="dxa"/>
            <w:vAlign w:val="bottom"/>
            <w:gridSpan w:val="11"/>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240" w:type="dxa"/>
            <w:vAlign w:val="bottom"/>
            <w:gridSpan w:val="16"/>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540" w:type="dxa"/>
            <w:vAlign w:val="bottom"/>
            <w:gridSpan w:val="18"/>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Use of Proceeds, and Issuer Purchases of Equity Securities</w:t>
            </w:r>
          </w:p>
        </w:tc>
        <w:tc>
          <w:tcPr>
            <w:tcW w:w="1420" w:type="dxa"/>
            <w:vAlign w:val="bottom"/>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260" w:type="dxa"/>
            <w:vAlign w:val="bottom"/>
            <w:gridSpan w:val="12"/>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2"/>
          </w:tcPr>
          <w:p>
            <w:pPr>
              <w:spacing w:after="0"/>
              <w:rPr>
                <w:sz w:val="20"/>
                <w:szCs w:val="20"/>
                <w:color w:val="auto"/>
              </w:rPr>
            </w:pPr>
          </w:p>
        </w:tc>
        <w:tc>
          <w:tcPr>
            <w:tcW w:w="6820" w:type="dxa"/>
            <w:vAlign w:val="bottom"/>
            <w:gridSpan w:val="15"/>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980" w:type="dxa"/>
            <w:vAlign w:val="bottom"/>
            <w:gridSpan w:val="19"/>
          </w:tcPr>
          <w:p>
            <w:pPr>
              <w:spacing w:after="0"/>
              <w:rPr>
                <w:sz w:val="24"/>
                <w:szCs w:val="24"/>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60" w:type="dxa"/>
            <w:vAlign w:val="bottom"/>
            <w:gridSpan w:val="18"/>
          </w:tcPr>
          <w:p>
            <w:pPr>
              <w:jc w:val="center"/>
              <w:ind w:left="3330"/>
              <w:spacing w:after="0"/>
              <w:rPr>
                <w:sz w:val="20"/>
                <w:szCs w:val="20"/>
                <w:color w:val="auto"/>
              </w:rPr>
            </w:pPr>
            <w:r>
              <w:rPr>
                <w:rFonts w:ascii="Times New Roman" w:cs="Times New Roman" w:eastAsia="Times New Roman" w:hAnsi="Times New Roman"/>
                <w:sz w:val="18"/>
                <w:szCs w:val="18"/>
                <w:color w:val="auto"/>
                <w:w w:val="88"/>
              </w:rPr>
              <w:t>2</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“it,” “us,” and “our” in this Quarterly Report on Form 10-Q refer to Quanterix Corporation and its consolidated subsidiaries.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are subject to a number of risks, uncertainties, and assumptions, including those further described in the section titled “Part II, Item 1A. Risk Factors” of this Quarterly Report on Form 10-Q and in the section titled “Part I, Item 1A. Risk Factors” of our Annual Report on Form 10-K for the year ended December 31, 2024, as filed with the U.S Securities and Exchange Commission (the “SEC”) on March 17, 2025, as updated by the risk factors in the section titled “Part II, Item 1A. Risk Factors” in our Quarterly Report on Form 10-Q for the quarter ended March 31, 2025, as filed with the SEC on May 12, 2025,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9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“Quanterix,” “Simoa,” “Simoa HD-X,” “Simoa HD-1,” “Simoa One,” “SR-X,” “SP-X,” “HD-X,” “LucentAD,” “Lucent Diagnostics,” and our logo are our trademarks. All other service marks, trademarks, and trade names appearing in this Quarterly Report on Form 10-Q are the property of their respective owners. We do not intend our use or display of other companies’ service marks, trademarks, or trade names to imply a relationship with, or endorsement or sponsorship of us, by these other companies.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 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56,709</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w:t>
            </w:r>
          </w:p>
        </w:tc>
      </w:tr>
      <w:tr>
        <w:trPr>
          <w:trHeight w:val="24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363,594</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44"/>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375,609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406,533</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4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42,007</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32,615</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contingent consideration</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57"/>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76,495</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 Authorized: 120,000 shares; Issued and outstanding: 38,873</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38,544 shares at June 30, 2025 and December 31, 2024, respectively</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803,160</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(520,598)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(470,081)</w:t>
            </w:r>
          </w:p>
        </w:tc>
      </w:tr>
      <w:tr>
        <w:trPr>
          <w:trHeight w:val="244"/>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330,038</w:t>
            </w:r>
          </w:p>
        </w:tc>
      </w:tr>
      <w:tr>
        <w:trPr>
          <w:trHeight w:val="27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(amounts in thousands, except per share data,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39,557</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66,447</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50,119</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lease costs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and restructuring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(26,099)</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50"/>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50"/>
        </w:trPr>
        <w:tc>
          <w:tcPr>
            <w:tcW w:w="5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57"/>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(19,944)</w:t>
            </w: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losses on accounts receivable</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marketable securities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 amortization</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activity</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 accrued expenses, and other current liabilities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(189,344)</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89,229</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(102,220)</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common stock issued under stock plans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employee taxes withheld on stock-based compensation awards</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4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(127,064)</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177,026</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135,537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49,609</w:t>
            </w:r>
          </w:p>
        </w:tc>
      </w:tr>
      <w:tr>
        <w:trPr>
          <w:trHeight w:val="27"/>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taxes</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63"/>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liabilities</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Quanterix Corporation (“Quanterix” or the “Company”) is a life sciences company that has developed next-generation, ultra-sensitive digital immunoassay platforms that advance life sciences research and diagnostics. The Company’s platforms are based on its proprietary digital “Simoa” detection technology and enable customers to reliably detect protein biomarkers in ultra-low concentrations in blood, serum, and other fluids that, in many cases, are undetectable using conventional, analog immunoassay technologies. The ability of the Company’s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provides contract research services for customers and Laboratory Developed Test (“LDT”) services through its Clinical Laboratory Improvement Amendments of 1988 (“CLIA”) certified Accelerator Laboratory (the “Accelerator Laboratory”). The Accelerator Laboratory provides customers with access to Simoa technology and its Lucent Diagnostics clinical testing services and supports multiple projects and services, including sample testing, homebrew assay development, custom assay development, and blood-based biomarker testing.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to Consolidated Financial Statements have been prepared in accordance with generally accepted accounting principles in the United States of America (“U.S. GAAP”) and pursuant to the rules and regulations of the SEC regarding interim financial reporting on Form 10-Q. Accordingly, certain information and disclosures required for complete financial statements prepared in accordance with U.S. GAAP are not included. The Consolidated Balance Sheet and related information as of December 31, 2024 included herein was derived from the audited Consolidated Financial Statements as of December 31, 2024, but does not include all disclosures required by U.S. GAAP on an annual reporting basis. Certain amounts in the prior years’ Consolidated Financial Statements have been reclassified to conform to the current year’s presentation.</w:t>
      </w:r>
    </w:p>
    <w:p>
      <w:pPr>
        <w:spacing w:after="0" w:line="18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Company’s Annual Report on Form 10-K for the year ended December 31, 2024, as filed with the SEC on March 17, 2025. Since the date of that filing, there have been no changes or updates to the Company’s significant accounting policies, other than those described below.</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Consolidated Financial Statements and Notes to Consolidated Financial Statements contain all normal, recurring adjustments necessary for a fair statement of financial position, results of operations, comprehensive loss, and cash flows as of the dates and for the interim periods presented. The results of operations for the three and six months ended June 30, 2025 may not be indicative of the results for the full year ending December 31, 2025, or any other period.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fiscal year is the 12-month period from January 1 through December 31, and all references to “2025,” “2024,” and the like refer to that fiscal year unless otherwise noted.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Notes to Consolidated Financial Statements in conformity with U.S. GAAP requires management to make estimates and assumptions that affect the reported amounts of assets and liabilities at the end of each fiscal period, and the reported amounts of revenues and expenses during each fiscal period. Such estimates include, but are not limited to, revenue recognition, valuation of inventory,valuation and impairment of goodwill, intangible and other long-lived assets, valuation of acquired assets and liabilities from acquisitions, valuation of contingent consideration, recoverability of deferred tax assets, and stock-based compensation expense.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Notes to Consolidated Financial Statements include the accounts of Quanterix and its wholly-owned subsidiaries. All intercompany transactions have been eliminated in consolidation.</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810 – Consolidation, the Company assesses the terms of non-marketable equity investments to determine if any meet the definition of a variable interest entity (“VIE”) and require consolidation into its Consolidated Financial Statements. Refer to Note 17 </w:t>
      </w:r>
      <w:r>
        <w:rPr>
          <w:rFonts w:ascii="Times New Roman" w:cs="Times New Roman" w:eastAsia="Times New Roman" w:hAnsi="Times New Roman"/>
          <w:sz w:val="18"/>
          <w:szCs w:val="18"/>
          <w:i w:val="1"/>
          <w:iCs w:val="1"/>
          <w:color w:val="auto"/>
        </w:rPr>
        <w:t>- Variable Interest Entities</w:t>
      </w:r>
      <w:r>
        <w:rPr>
          <w:rFonts w:ascii="Times New Roman" w:cs="Times New Roman" w:eastAsia="Times New Roman" w:hAnsi="Times New Roman"/>
          <w:sz w:val="18"/>
          <w:szCs w:val="18"/>
          <w:color w:val="auto"/>
        </w:rPr>
        <w:t xml:space="preserve"> for further discussion.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January 8, 2025, the Company acquired all of the issued and outstanding shares of capital stock of Emission, Inc., a privately held company based in Georgetown, Texas.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for further discussion.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subsidiaries are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loss, a component of stockholders’ equity on the Consolidated Balance Sheets.</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(losses) are included in other income (expense), net, on the Consolidated Statements of Operations and were not material for the three months ended June 30, 2025 and 2024. Foreign currency losses were $0.3 million for the six months ended June 30, 2025 and foreign currency gains were $0.3 million for the six months ended June 30,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260" w:right="380" w:hanging="252"/>
        <w:spacing w:after="0" w:line="266" w:lineRule="auto"/>
        <w:tabs>
          <w:tab w:leader="none" w:pos="2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collateral for a letter of credit issued as security for two of the Company’s leased facilities and to secure the Company’s corporate credit card program. The short-term or long-term classification is determined in accordance with the expiration of the underlying letter of credit and security.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assesses goodwill for impairment at the reporting unit level at least annually or whenever events or circumstances change that would more likely than not reduce the fair value of a reporting unit below its carrying amount. An impairment assessment requires evaluating a potential impairment using either a qualitative assessment, to determine if it is more likely than not that the fair value of any reporting unit is less than its carrying amount, or a quantitative analysis, to determine and compare the fair value of each reporting unit to its carrying value, or a combination of both. Judgment is required in determining the use of a qualitative or quantitative assessment, as well as in determining a reporting unit’s estimated fair value, as it requires us to make estimates of market conditions and operational performance, including items such as projected financial results, discount rates, control premium, or valuation multiples for key financial metrics.</w:t>
      </w:r>
    </w:p>
    <w:p>
      <w:pPr>
        <w:spacing w:after="0" w:line="187"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During the three months ended June 30, 2025, the Company recorded an impairment charge on its entire goodwill balance. Refer to Note 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further discussion.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circumstances indicate the carrying amount of the asset(s) may not be fully recoverable or that the estimated useful lives may warrant revision. To assess the recoverability of a long-lived asset or asset group, the Company compares the estimated undiscounted future cash flows for the estimated remaining useful life, or estimated lease term, of the asset (or the primary asset in the asset group) to its carrying value. If the undiscounted cash flows are less than the carrying value, the Company estimates the asset's fair value using the future discounted cash flows associated with the use of the asset. To the extent that the discounted cash flows are less than the carrying value, the asset(s) are impaired and written down to their estimated fair value.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to estimate future cash flows, including, but not limited to, estimates about future revenues, expenses, asset disposal value, expected uses of the asset (group), historical customer retention rates, technology roadmaps, customer awareness, trademark and trade name history, contractual provisions that could limit or extend an asset's useful life, market data, discount rates, and potential sublease opportunities including rent and rent escalation rates, time to sublease, and free rent periods.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costs associated with approved restructuring plans to reorganize operations. Restructuring costs are comprised of employee separation costs, primarily severance and related benefit payments, and any associated costs related to implementing a restructuring plan.</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records restructuring charges when a restructuring plan is approved and the amounts to be incurred are estimable. Refer to Note 19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for further discussion on the restructuring plan implemented during the three months ended June 30, 2025.</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to be Adopted</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2024, the FASB issued Accounting Standards Update (“ASU”) No. 2023-09, Income Taxes (Topic 740):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new standard enhances annual income tax disclosure requirements by requiring specified categories and greater disaggregation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rate reconciliation table, disclosure of income taxes paid by jurisdiction, and additional disclosures of uncertain tax positions and the related financial statement impacts. The new standard will be effective for the Company for annual reporting periods beginning after December 15, 2024, with early adoption permitted. The Company expects that adoption of the standard will increase its income tax related disclosures but will not have a material impact on its Consolidated Financial Statements.</w:t>
      </w:r>
    </w:p>
    <w:p>
      <w:pPr>
        <w:spacing w:after="0" w:line="182"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Reporting Comprehensive Income (Topic 220):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This update enhances disclosure of an entity's expenses, primarily through additional disaggregation of income statement expenses. The update also requires entities to disclose qualitative descriptions of the amounts remaining in relevant expense captions that are not separately disaggregated quantitatively. The amendments in this update can be applied prospectively or retrospectively. The new standard will be effective for the Company for annual reporting periods beginning after December 15, 2026 and interim reporting periods beginning after December 15, 2027. The Company is currently evaluating the impact of adoption of the standard on its Consolidated Financial Statements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the acquisition method of accounting under ASC 805 -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The acquisition method of accounting requires the Company to record the acquired assets and liabilities, including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at their estimated fair values as of the acquisition date, with any excess of the consideration transferred recorded to goodwill.</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Company acquired all of the issued and outstanding shares of capital stock of Emission, Inc. (“Emission”), a life sciences manufacturing company based in Georgetown, Texas. Emission produces large-scale, highly-uniform dye-encapsulating magnetic beads designed for low and mid-plex assays and a mid-plex platform that reads these proprietary beads. The transaction is part of the Company's plans to secure the use of Emission’s highly controlled beads in the Company's next generation platforms and expansion into a new multi-plex market segment targeting third-party original equipment manufacturer customers.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Consideration Transferred</w:t>
      </w:r>
    </w:p>
    <w:p>
      <w:pPr>
        <w:spacing w:after="0" w:line="22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aggregate consideration paid or payable for Emission as of the acquisition date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at closing (1)</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Holdback (2)</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(3)</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1"/>
        </w:trPr>
        <w:tc>
          <w:tcPr>
            <w:tcW w:w="9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140" w:hanging="252"/>
        <w:spacing w:after="0" w:line="261"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at close represents the contractual amount paid on the closing date and is reflected as an investing activity in the Consolidated Statements of Cash Flows. Cash acquired was not material.</w:t>
      </w: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holdback is expected to be paid during the first quarter of 2026 and is subject to applicable adjustments.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includes contingent consideration discussed below in the section titled “Contingent Payments”.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Payments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Emission transaction included two arrangements that could result in additional cash payments to the seller. An additional $10.0 million is payable upon completion of certain technical milestones (“Earnout 1”) and up to $50.0 million could be payable based on the amount and timing of certain performance targets over a five year period ending December 31, 2029 (“Earnout 2”).</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ASC 805, the Company determined Earnout 1 is compensation expense and is therefore recognized separately from the business combination. In accordance with ASC 710 -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Earnout 1 is recognized over the expected period certain technical requirements are transferred and certain milestones are completed, which the Company currently estimates to be eight months from the closing date of the acquisition. This expense is recorded in research and development and selling, general and administrative expenses on the Consolidated Statements of Operations.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preliminary fair value of Earnout 2 on the acquisition date was $6.6 million, which represents purchase price and is included in the accounting for the business combination. Monte-Carlo simulations were used to determine the fair value, including the following significant unobservable inputs: projected revenue, a risk adjusted discount rate, and revenue volatility. Refer to Note 8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discussion on the fair value considerations for Earnout 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Preliminary Allocation of Purchase Price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to the estimated fair values of the acquired assets and liabilities as of the acquisition date (in thousands):</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6"/>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7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6"/>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7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7"/>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 (1)</w:t>
            </w:r>
          </w:p>
        </w:tc>
        <w:tc>
          <w:tcPr>
            <w:tcW w:w="7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r>
      <w:tr>
        <w:trPr>
          <w:trHeight w:val="257"/>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(2)</w:t>
            </w:r>
          </w:p>
        </w:tc>
        <w:tc>
          <w:tcPr>
            <w:tcW w:w="7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6"/>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liability (3)</w:t>
            </w:r>
          </w:p>
        </w:tc>
        <w:tc>
          <w:tcPr>
            <w:tcW w:w="7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5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0"/>
        </w:trPr>
        <w:tc>
          <w:tcPr>
            <w:tcW w:w="9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right="60" w:hanging="252"/>
        <w:spacing w:after="0" w:line="261" w:lineRule="auto"/>
        <w:tabs>
          <w:tab w:leader="none" w:pos="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intangible asset is finite-lived, represents developed technology, and has an estimated useful life of 14 years. The determination of the fair value of the finite-lived intangible asset required management judgment and the consideration of a number of factors. In determining the fair value, management primarily relied on a multi-period excess earnings valuation methodology. This methodology required the use of estimates, including projected revenues related to the particular asset; its obsolescence rate; royalty, margin, and discount rates; and certain published or readily</w:t>
      </w:r>
    </w:p>
    <w:p>
      <w:pPr>
        <w:sectPr>
          <w:pgSz w:w="11900" w:h="16838" w:orient="portrait"/>
          <w:cols w:equalWidth="0" w:num="1">
            <w:col w:w="11220"/>
          </w:cols>
          <w:pgMar w:left="320" w:top="513" w:right="359" w:bottom="144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right="600"/>
        <w:spacing w:after="0" w:line="261" w:lineRule="auto"/>
        <w:rPr>
          <w:sz w:val="20"/>
          <w:szCs w:val="20"/>
          <w:color w:val="auto"/>
        </w:rPr>
      </w:pPr>
      <w:r>
        <w:rPr>
          <w:rFonts w:ascii="Times New Roman" w:cs="Times New Roman" w:eastAsia="Times New Roman" w:hAnsi="Times New Roman"/>
          <w:sz w:val="18"/>
          <w:szCs w:val="18"/>
          <w:color w:val="auto"/>
        </w:rPr>
        <w:t>available industry benchmark data. In establishing the estimated useful life of the acquired intangible asset, the Company relied primarily on the duration of the cash flows utilized in the valuation model.</w:t>
      </w:r>
    </w:p>
    <w:p>
      <w:pPr>
        <w:ind w:left="260" w:hanging="252"/>
        <w:spacing w:after="0" w:line="250" w:lineRule="auto"/>
        <w:tabs>
          <w:tab w:leader="none" w:pos="2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Goodwill represents the expected synergies from combining Emission with Quanterix as well as the value of the acquired workforce. The goodwill is not deductible for income tax purposes. As of June 30, 2025, the Company has booked a full impairment of the goodwill (refer to Note 4 </w:t>
      </w:r>
      <w:r>
        <w:rPr>
          <w:rFonts w:ascii="Times New Roman" w:cs="Times New Roman" w:eastAsia="Times New Roman" w:hAnsi="Times New Roman"/>
          <w:sz w:val="18"/>
          <w:szCs w:val="18"/>
          <w:i w:val="1"/>
          <w:iCs w:val="1"/>
          <w:color w:val="auto"/>
        </w:rPr>
        <w:t>-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other non-current liabilities on the Consolidated Balance Sheets.</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set forth above is preliminary as the Company continues to obtain information to complete the purchase price allocation. The Company will record adjustments, if any, during the measurement period subsequent to the acquisition date and bases such adjustments only on facts and circumstances that existed as of the acquisition date. Measurement period adjustments since the acquisition date have not been material.</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operating results of Emission have been included in the Company's financial statements since the acquisition date and are not material to the Company's consolidated financial results.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costs related to the Emission transaction were not material for the three and six months ended June 30,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Call Option Agreement</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acquisition of Emission, the Company entered into a call option agreement (the “Option Agreement”), in which the Emission selling shareholders have the right to repurchase all of the outstanding capital stock of Emission for $10.0 million after five years if Emission’s revenues do not exceed $5.0 million in any one year during such five-year period. If the Emission selling shareholders exercise the right to repurchase Emission, the Company will retain a perpetual, fully-paid, irrevocable license to all Emission intellectual property required to continue to manufacture and commercialize the Company's products. The Company determined that the call option is embedded in the purchased shares of Emission and does not require separate accounting unless 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Impairment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amount an acquisition’s purchase price exceeds the fair value of the assets acquired, including identifiable intangible assets, and liabilities assumed. Goodwill is not amortized; however it is required to be tested for impairment annually at the reporting unit level. Testing for impairment is also required on an interim basis if events or circumstances indicate it is more likely than not that an impairment loss has been incurred.</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 reporting unit is defined as an operating segment or a component of an operating segment to the extent discrete financial information is available that is reviewed by segment management. The Company has determined it has one reporting unit.</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Absent an event that indicates a specific impairment may exist, the Company has selected October 1 as the date for performing its annual goodwill impairment test. The impairment test is first performed at the reporting unit level using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Goodwill is considered impaired if the carrying value of the reporting unit exceeds its fair value, and an impairment loss is recognized in amount equal to this excess.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second quarter of 2025, the Company assessed several events and circumstances, including a larger than expected decline in the Company's revenue and bookings primarily due to the rapidly changing macro-economic conditions resulting from reductions in US federal research funding, reductions in research and development spending by larger pharmaceutical customers, and new import tariffs. As a result, the Company concluded it was more likely than not that that the fair value of its single reporting unit was less than its carrying value and performed a quantitative impairment test for its goodwill as of June 30, 2025.</w:t>
      </w:r>
    </w:p>
    <w:p>
      <w:pPr>
        <w:spacing w:after="0" w:line="183"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estimated the implied fair value of its reporting unit using a market valuation approach, which included inputs such as the Company's quoted stock price.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quantitative test, the Company determined its goodwill was fully impaired and recorded an impairment charge of $6.4 million during the three months ended June 30, 2025. The Company did not record a goodwill impairment in any other periods presented.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carrying amount of goodwill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 Goodwill</w:t>
            </w:r>
          </w:p>
        </w:tc>
      </w:tr>
      <w:tr>
        <w:trPr>
          <w:trHeight w:val="23"/>
        </w:trPr>
        <w:tc>
          <w:tcPr>
            <w:tcW w:w="9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Emission</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w:t>
            </w:r>
          </w:p>
        </w:tc>
      </w:tr>
      <w:tr>
        <w:trPr>
          <w:trHeight w:val="24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Long-Lived Assets, and Impairment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continually assesses the determination of its asset groups, which primarily focuses on changes in the Company's operating structure, the way in which it expects to deploy its assets, or how the Company intends to recover the cost of it assets. As a result of the acquisition of Emission, the Company reassessed its asset groups. Primarily due to management's updated expectations of how it plans to deploy and recover the costs of its assets, the Company determined the assets acquired in the Emission acquisition would become their own asset group.</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Prior to the quantitative goodwill impairment test, the Company tested the recoverability of its long-lived assets, including intangible assets and property and equipment. The Company utilized an undiscounted cash flow analysis to determine if the cash flows expected to be generated by its asset groups over the remaining estimated useful lives of each group's primary asset were sufficient to recover the carrying value of each asset group. Significant assumptions that form the basis of the forecasted results utilized to calculate undiscounted cash flows include estimates about future revenues, expenses, and market conditions related to these assets, as well as the disposal value of the asset group. These estimates are based on a complex series of judgments about future events and rely heavily on estimates and assumptions that have been deemed reasonable by the Company. Changes in the estimates or assumptions used could materially affect the determination of recoverability. Potential events and circumstances that could have an adverse impact on our estimates and assumptions include, but are not limited to, lower than expected bookings growth, increases in costs, and other macroeconomic factors. As of June 30, 2025, the Company concluded that none of its intangible or other long-lived assets were impaired.</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Should economic conditions deteriorate further or remain depressed for a prolonged period of time, estimates of future cash flows for each of the Company’s asset groups may be insufficient to support their carrying value, requiring an impairment. Impairment charges, if any, may be material to the results of operations and financial position.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intangible assets consisted of the following (in thousands, except useful life and weighted average life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1"/>
                <w:szCs w:val="11"/>
                <w:color w:val="auto"/>
              </w:rPr>
            </w:pPr>
          </w:p>
        </w:tc>
        <w:tc>
          <w:tcPr>
            <w:tcW w:w="11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c>
          <w:tcPr>
            <w:tcW w:w="0" w:type="dxa"/>
            <w:vAlign w:val="bottom"/>
          </w:tcPr>
          <w:p>
            <w:pPr>
              <w:spacing w:after="0"/>
              <w:rPr>
                <w:sz w:val="1"/>
                <w:szCs w:val="1"/>
                <w:color w:val="auto"/>
              </w:rPr>
            </w:pPr>
          </w:p>
        </w:tc>
      </w:tr>
      <w:tr>
        <w:trPr>
          <w:trHeight w:val="22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Know-how</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7 - 14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8.5 - 10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200" w:type="dxa"/>
            <w:vAlign w:val="bottom"/>
          </w:tcPr>
          <w:p>
            <w:pPr>
              <w:spacing w:after="0"/>
              <w:rPr>
                <w:sz w:val="11"/>
                <w:szCs w:val="11"/>
                <w:color w:val="auto"/>
              </w:rPr>
            </w:pPr>
          </w:p>
        </w:tc>
        <w:tc>
          <w:tcPr>
            <w:tcW w:w="11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Know-how</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8.5 - 10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$0.6 million and $0.4 million for the three months ended June 30, 2025 and 2024, respectively, and $1.2 million and $0.8 million for the six months ended June 30, 2025 and 2024,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is as follows (amounts in thousands):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5"/>
        </w:trPr>
        <w:tc>
          <w:tcPr>
            <w:tcW w:w="9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June 30, 2025</w:t>
            </w:r>
          </w:p>
        </w:tc>
      </w:tr>
      <w:tr>
        <w:trPr>
          <w:trHeight w:val="23"/>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5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5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5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w:t>
            </w:r>
          </w:p>
        </w:tc>
      </w:tr>
      <w:tr>
        <w:trPr>
          <w:trHeight w:val="281"/>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 and Related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life sciences research that pursue the development of novel therapies and diagnostics for a variety of neurologic, oncologic, cardiovascular, and infectious diseases, and through the identification and measurement of protein biomarkers associated with diseases. The Company’s customer base includes pharmaceutical, biotechnology, contract research organizations, academic, and government institutions.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revenue from contracts with customers by geography, based on the location products and services are consumed, and revenue type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63"/>
        </w:trPr>
        <w:tc>
          <w:tcPr>
            <w:tcW w:w="2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r>
        <w:trPr>
          <w:trHeight w:val="250"/>
        </w:trPr>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services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0" w:type="dxa"/>
            <w:vAlign w:val="bottom"/>
          </w:tcPr>
          <w:p>
            <w:pPr>
              <w:spacing w:after="0"/>
              <w:rPr>
                <w:sz w:val="1"/>
                <w:szCs w:val="1"/>
                <w:color w:val="auto"/>
              </w:rPr>
            </w:pPr>
          </w:p>
        </w:tc>
      </w:tr>
      <w:tr>
        <w:trPr>
          <w:trHeight w:val="263"/>
        </w:trPr>
        <w:tc>
          <w:tcPr>
            <w:tcW w:w="2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Service-type warranties</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2"/>
            <w:vMerge w:val="restart"/>
          </w:tcPr>
          <w:p>
            <w:pPr>
              <w:ind w:left="20"/>
              <w:spacing w:after="0" w:line="205" w:lineRule="exact"/>
              <w:rPr>
                <w:sz w:val="20"/>
                <w:szCs w:val="20"/>
                <w:color w:val="auto"/>
              </w:rPr>
            </w:pPr>
            <w:r>
              <w:rPr>
                <w:rFonts w:ascii="Times New Roman" w:cs="Times New Roman" w:eastAsia="Times New Roman" w:hAnsi="Times New Roman"/>
                <w:sz w:val="18"/>
                <w:szCs w:val="18"/>
                <w:color w:val="auto"/>
              </w:rPr>
              <w:t>Collaboration and license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0" w:type="dxa"/>
            <w:vAlign w:val="bottom"/>
          </w:tcPr>
          <w:p>
            <w:pPr>
              <w:spacing w:after="0"/>
              <w:rPr>
                <w:sz w:val="1"/>
                <w:szCs w:val="1"/>
                <w:color w:val="auto"/>
              </w:rPr>
            </w:pPr>
          </w:p>
        </w:tc>
      </w:tr>
      <w:tr>
        <w:trPr>
          <w:trHeight w:val="263"/>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0" w:type="dxa"/>
            <w:vAlign w:val="bottom"/>
          </w:tcPr>
          <w:p>
            <w:pPr>
              <w:spacing w:after="0"/>
              <w:rPr>
                <w:sz w:val="1"/>
                <w:szCs w:val="1"/>
                <w:color w:val="auto"/>
              </w:rPr>
            </w:pPr>
          </w:p>
        </w:tc>
      </w:tr>
      <w:tr>
        <w:trPr>
          <w:trHeight w:val="243"/>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39,557</w:t>
            </w:r>
          </w:p>
        </w:tc>
        <w:tc>
          <w:tcPr>
            <w:tcW w:w="0" w:type="dxa"/>
            <w:vAlign w:val="bottom"/>
          </w:tcPr>
          <w:p>
            <w:pPr>
              <w:spacing w:after="0"/>
              <w:rPr>
                <w:sz w:val="1"/>
                <w:szCs w:val="1"/>
                <w:color w:val="auto"/>
              </w:rPr>
            </w:pPr>
          </w:p>
        </w:tc>
      </w:tr>
      <w:tr>
        <w:trPr>
          <w:trHeight w:val="26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services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0" w:type="dxa"/>
            <w:vAlign w:val="bottom"/>
          </w:tcPr>
          <w:p>
            <w:pPr>
              <w:spacing w:after="0"/>
              <w:rPr>
                <w:sz w:val="1"/>
                <w:szCs w:val="1"/>
                <w:color w:val="auto"/>
              </w:rPr>
            </w:pPr>
          </w:p>
        </w:tc>
      </w:tr>
      <w:tr>
        <w:trPr>
          <w:trHeight w:val="263"/>
        </w:trPr>
        <w:tc>
          <w:tcPr>
            <w:tcW w:w="2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Service-type warranties</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56"/>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0" w:type="dxa"/>
            <w:vAlign w:val="bottom"/>
          </w:tcPr>
          <w:p>
            <w:pPr>
              <w:spacing w:after="0"/>
              <w:rPr>
                <w:sz w:val="1"/>
                <w:szCs w:val="1"/>
                <w:color w:val="auto"/>
              </w:rPr>
            </w:pPr>
          </w:p>
        </w:tc>
      </w:tr>
      <w:tr>
        <w:trPr>
          <w:trHeight w:val="21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and license</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63"/>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no customer accounted for more than 10% of the Company’s total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no customer accounted for more than 10% of the Company’s gross accounts receivable.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contract assets as of June 30, 2025 or December 31,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$3.1 million and $2.2 million of revenue, respectively, related to its deferred revenue balance at January 1 of each such period. During the six months ended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June 30, 2025 and 2024, the Company recognized $5.6 million and $4.9 million of revenue, respectively, related to its deferred revenue balance at January 1 of each such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the aggregate amount of transaction prices allocated to performance obligations that were not yet satisfied, or were partially satisfied, was $10.5 million. Of this amount, $9.4 million is expected to be recognized as revenue in the next 12 months, with the remainder expected to be recognized thereafter. The $10.5 million primarily consists of amounts billed for undelivered services related to initial and extended service-type warranties and research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costs to obtain a contract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289</w:t>
            </w:r>
          </w:p>
        </w:tc>
      </w:tr>
      <w:tr>
        <w:trPr>
          <w:trHeight w:val="250"/>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 of costs to obtain a contract</w:t>
            </w:r>
          </w:p>
        </w:tc>
        <w:tc>
          <w:tcPr>
            <w:tcW w:w="9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6"/>
              </w:rPr>
              <w:t>174</w:t>
            </w:r>
          </w:p>
        </w:tc>
      </w:tr>
      <w:tr>
        <w:trPr>
          <w:trHeight w:val="26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Recognition of costs to obtain a contract</w:t>
            </w: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262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280</w:t>
            </w:r>
          </w:p>
        </w:tc>
      </w:tr>
      <w:tr>
        <w:trPr>
          <w:trHeight w:val="27"/>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potential impairment of these amounts at each balance sheet date and no impairments were recorded during the three and six months ended June 30, 2025 and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grant revenue is generated within North America.</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NIH Grant</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September 21, 2022, the Company and the National Institutes of Health (the “NIH”), an agency of the U.S. Department of Health and Human Services, entered into a contract (the “NIH Grant”) with a total award value of $1.7 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June 30, 2025, the Company had received $1.5 million of the total award value.</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each of the three and six months ended June 30, 2025, NIH grant revenue recognized and research and development expenses incurred were not material. During the three and six months ended June 30, 2024, NIH grant revenue recognized and research and development expenses incurred were not material and $0.4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allowance for expected credit losses on accounts receivable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and recoveries collected</w:t>
            </w:r>
          </w:p>
        </w:tc>
        <w:tc>
          <w:tcPr>
            <w:tcW w:w="1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7"/>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Marketable Securities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marketable securities are classified as available-for-sale. The amortized cost, gross unrealized gains, gross unrealized losses, and fair value of the Company’s marketable securities, by major security type,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57,779</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41,706</w:t>
            </w:r>
          </w:p>
        </w:tc>
      </w:tr>
      <w:tr>
        <w:trPr>
          <w:trHeight w:val="2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28,791</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128,276</w:t>
            </w:r>
          </w:p>
        </w:tc>
      </w:tr>
      <w:tr>
        <w:trPr>
          <w:trHeight w:val="27"/>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510"/>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61,857</w:t>
            </w:r>
          </w:p>
        </w:tc>
      </w:tr>
      <w:tr>
        <w:trPr>
          <w:trHeight w:val="2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93,978</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75,084</w:t>
            </w:r>
          </w:p>
        </w:tc>
      </w:tr>
      <w:tr>
        <w:trPr>
          <w:trHeight w:val="27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and gross unrealized losses of the Company’s marketable securities aggregated by major security type and length of time that the individual securities have been in a continuous unrealized loss position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18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3"/>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524"/>
        </w:trPr>
        <w:tc>
          <w:tcPr>
            <w:tcW w:w="8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3"/>
        </w:trPr>
        <w:tc>
          <w:tcPr>
            <w:tcW w:w="8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have any individual securities in a continuous loss position for greater than 12 months, and there were no individual securities that were in a significant unrealized loss position as of June 30, 2025. For marketable securities in an unrealized loss position, the Company does not intend to sell them,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2025, the Company sold $12.7 million of marketable securities. Realized gains related to the sale were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w:t>
      </w:r>
    </w:p>
    <w:p>
      <w:pPr>
        <w:spacing w:after="0" w:line="20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Company had $1.2 million and $1.5 million, respectively, of accrued interest receivable on its marketable securities.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Pr>
          <w:p>
            <w:pPr>
              <w:spacing w:after="0"/>
              <w:rPr>
                <w:sz w:val="16"/>
                <w:szCs w:val="16"/>
                <w:color w:val="auto"/>
              </w:rPr>
            </w:pPr>
          </w:p>
        </w:tc>
        <w:tc>
          <w:tcPr>
            <w:tcW w:w="288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197,306</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w:t>
            </w: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of Financial Instruments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financial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5"/>
                <w:szCs w:val="15"/>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09"/>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8"/>
                <w:szCs w:val="18"/>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5"/>
        </w:trPr>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Financial assets:</w:t>
            </w:r>
          </w:p>
        </w:tc>
        <w:tc>
          <w:tcPr>
            <w:tcW w:w="3820" w:type="dxa"/>
            <w:vAlign w:val="bottom"/>
            <w:tcBorders>
              <w:top w:val="single" w:sz="8" w:color="auto"/>
              <w:bottom w:val="single" w:sz="8" w:color="CCEEFF"/>
            </w:tcBorders>
            <w:gridSpan w:val="2"/>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equivalents: (1)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Financial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(2)</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9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24"/>
                <w:szCs w:val="24"/>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04"/>
        </w:trPr>
        <w:tc>
          <w:tcPr>
            <w:tcW w:w="2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4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Financial assets:</w:t>
            </w:r>
          </w:p>
        </w:tc>
        <w:tc>
          <w:tcPr>
            <w:tcW w:w="382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equivalents: (1)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5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cash and cash equivalents on the Consolidated Balance Sheets.</w:t>
      </w:r>
    </w:p>
    <w:p>
      <w:pPr>
        <w:sectPr>
          <w:pgSz w:w="11900" w:h="16838" w:orient="portrait"/>
          <w:cols w:equalWidth="0" w:num="1">
            <w:col w:w="11240"/>
          </w:cols>
          <w:pgMar w:left="320" w:top="513"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right="80" w:hanging="252"/>
        <w:spacing w:after="0" w:line="284" w:lineRule="auto"/>
        <w:tabs>
          <w:tab w:leader="none" w:pos="2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Earnout 2 included in the acquisition of Emission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requires additional consideration to be paid to the selling shareholders based on the amount and timing of certain performance targets over a five year period ending December 31, 2029.</w:t>
      </w:r>
    </w:p>
    <w:p>
      <w:pPr>
        <w:spacing w:after="0" w:line="160" w:lineRule="exact"/>
        <w:rPr>
          <w:sz w:val="20"/>
          <w:szCs w:val="20"/>
          <w:color w:val="auto"/>
        </w:rPr>
      </w:pPr>
    </w:p>
    <w:p>
      <w:pPr>
        <w:jc w:val="both"/>
        <w:ind w:right="480" w:firstLine="648"/>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Level 3 financial instruments measured at fair value on a recurring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Level 3 Liabilities</w:t>
            </w:r>
          </w:p>
        </w:tc>
      </w:tr>
      <w:tr>
        <w:trPr>
          <w:trHeight w:val="23"/>
        </w:trPr>
        <w:tc>
          <w:tcPr>
            <w:tcW w:w="8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Emission - Earnout 2 (1)</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 (2)</w:t>
            </w: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0"/>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260" w:right="160" w:hanging="252"/>
        <w:spacing w:after="0" w:line="252" w:lineRule="auto"/>
        <w:tabs>
          <w:tab w:leader="none" w:pos="2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subsequent to the acquisition date were due to updated valuation inputs and the passage of time. Monte-Carlo simulations were used to determine the fair value, including the following significant unobservable inputs: projected revenue, a risk adjusted discount rate, and revenue volatility. Increases or decreases in the inputs would have resulted in a higher or lower fair value measurement. The range of outcomes payable is zero to $50.0 million. The fair value of the contingent consideration is recorded in accrued expenses and other current liabilities and non-current portion of contingent consideration on the Consolidated Balance Sheets. The change is recorded in change in fair value of contingent consideration on the Consolidated Statements of Operations.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non-marketable equity investment in a privately held entity. Since there is minimal market activity or other financial information available to determine the fair value of the shares held by Quanterix, this investment is considered a Level 3 financial asset.</w:t>
      </w:r>
    </w:p>
    <w:p>
      <w:pPr>
        <w:spacing w:after="0" w:line="16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ASC 321 –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uses the measurement alternative for equity investments without readily determinable fair values and recognizes its equity investment at cost, less any impairment, adjusted for any observable price changes in orderly transactions. The shares received were valued at $0.8 million upon receipt, primarily using the third-party purchase price of similar interests. Changes in the inputs and assumptions used would have resulted in a higher or lower fair value measurement.</w:t>
      </w:r>
    </w:p>
    <w:p>
      <w:pPr>
        <w:spacing w:after="0" w:line="18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Company’s non-marketable equity investment contains certain restrictions related to the sale or transfer of the securities. The restrictions are in place indefinitely and cannot lapse.</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2025, the Company did not record any fair value adjustments to its non-marketable equity investment. To date, the cumulative fair value adjustments have not been material. As of June 30, 2025 and December 31, 2024, the carrying value of the non-marketable equity investment was $0.8 million, and is recorded in other non-current assets on the Consolidated Balance Sheets. Refer to Note 17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for the Company's evaluation of investments in other entities under the VIE guidance.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June 30, 2025 and 2024, the Company did not transfer financial assets between levels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have been no changes to the valuation techniques for Level 2 or Level 3 financial assets or liabilities.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inventory reserves,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0" w:type="dxa"/>
            <w:vAlign w:val="bottom"/>
          </w:tcPr>
          <w:p>
            <w:pPr>
              <w:spacing w:after="0"/>
              <w:rPr>
                <w:sz w:val="1"/>
                <w:szCs w:val="1"/>
                <w:color w:val="auto"/>
              </w:rPr>
            </w:pPr>
          </w:p>
        </w:tc>
      </w:tr>
      <w:tr>
        <w:trPr>
          <w:trHeight w:val="24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0" w:type="dxa"/>
            <w:vAlign w:val="bottom"/>
          </w:tcPr>
          <w:p>
            <w:pPr>
              <w:spacing w:after="0"/>
              <w:rPr>
                <w:sz w:val="1"/>
                <w:szCs w:val="1"/>
                <w:color w:val="auto"/>
              </w:rPr>
            </w:pPr>
          </w:p>
        </w:tc>
      </w:tr>
      <w:tr>
        <w:trPr>
          <w:trHeight w:val="27"/>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 liabilities</w:t>
            </w: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compensation — Earnout 1 (1)</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57"/>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Represents the current portion of contingent compensation from Earnout 1 related to the Emission acquisition.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equity during the three months ended June 30, 2025 and 2024, respectively (amounts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34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38,544</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316,393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00"/>
              <w:spacing w:after="0" w:line="205"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34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349,958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00"/>
              <w:spacing w:after="0" w:line="205"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six months ended June 30, 2025 is presented below (in thousands, except per share and contractual life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4"/>
                <w:szCs w:val="14"/>
                <w:color w:val="auto"/>
              </w:rPr>
            </w:pPr>
          </w:p>
        </w:tc>
        <w:tc>
          <w:tcPr>
            <w:tcW w:w="13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0"/>
        </w:trPr>
        <w:tc>
          <w:tcPr>
            <w:tcW w:w="464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3"/>
        </w:trPr>
        <w:tc>
          <w:tcPr>
            <w:tcW w:w="4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4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Forfeited/expired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8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 (“RSU”) activity for the six months ended June 30, 2025 is presented below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5"/>
                <w:szCs w:val="15"/>
                <w:color w:val="auto"/>
              </w:rPr>
            </w:pPr>
          </w:p>
        </w:tc>
        <w:tc>
          <w:tcPr>
            <w:tcW w:w="14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55"/>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8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employees purchased 102 thousand shares of the Company’s common stock pursuant to the 2017 Employee Stock Purchase Plan.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categories on the Consolidated Statements of Operations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0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5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w:t>
            </w: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stock-based compensation expense related to unvested RSUs and stock options was $48.4 million, which is expected to be recognized over the remaining weighted-average vesting period of 2.7 years.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8"/>
              </w:rPr>
              <w:t>Numerator:</w:t>
            </w:r>
          </w:p>
        </w:tc>
        <w:tc>
          <w:tcPr>
            <w:tcW w:w="418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09"/>
        </w:trPr>
        <w:tc>
          <w:tcPr>
            <w:tcW w:w="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38,232</w:t>
            </w:r>
          </w:p>
        </w:tc>
      </w:tr>
      <w:tr>
        <w:trPr>
          <w:trHeight w:val="263"/>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bl>
    <w:p>
      <w:pPr>
        <w:spacing w:after="0" w:line="29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the Company was in a net loss position for all periods listed in the table below, the following common share equivalents (calculated on a weighted average basis) were excluded from the calculation of diluted net loss per share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020" w:type="dxa"/>
            <w:vAlign w:val="bottom"/>
            <w:gridSpan w:val="2"/>
          </w:tcPr>
          <w:p>
            <w:pPr>
              <w:ind w:left="5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5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ESPP purchases</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dilutive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0"/>
        </w:trPr>
        <w:tc>
          <w:tcPr>
            <w:tcW w:w="5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were 0.2% and 5.6% for the three and six months ended June 30, 2025, respectively, and (1.6)% for both the three and six months ended June 30, 2024, respectively. The effective tax rate in 2025 is higher than 2024 due to a non-recurring benefit of $3.0 million relating to the release of a portion of the Company's valuation allowance due to taxable temporary differences recorded as part of the Emission acquisition, which are a source of income to realize certain pre-existing federal and state deferred tax assets. The income tax provision and effective tax rate is driven primarily by a valuation allowance in the United States, partially offset by income taxes in foreign jurisdictions.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valuation allowance on the majority of its deferred tax assets, and it has concluded that it is more likely than not that the deferred assets will not be utilized.</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impacting taxes,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impact of the OBBBA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STRATEC</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and STRATEC Consumables GmbH (“STRATEC”) entered into the third amendment to the supply agreement with STRATEC (the “Amended STRATEC Supply Agreement”), effective as of January 1, 2025, related to the manufacturing of certain Simoa instruments. As part of the Amended STRATEC Supply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Agreement, the Company agreed to purchase a minimum number of instruments in 2025 and 2026 at agreed upon pricing. The Company may also be required to pay an additional annual maintenance fee based on the number of instruments purchased during 2025 and 2026, respectively. The agreement may be terminated upon 12 months notice after the later of meeting the minimum purchases or December 31, 2026.</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total purchase commitment for instruments under the Amended STRATEC Supply Agreement is approximately $10.8 million. There were no purchases made under the Amended STRATEC Supply Agreement during the three and six months ended June 30, 2025.</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Purchase Commitments</w:t>
      </w:r>
    </w:p>
    <w:p>
      <w:pPr>
        <w:spacing w:after="0" w:line="214"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Company’s other non-cancellable purchase commitments primarily consist of purchases of raw materials for manufacturing operations under annual and multi-year agreements, some of which have minimum quantity requirements. As of June 30, 2025, the Company’s total purchase commitments under these agreements were $0.9 million.</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 Lilly and Company</w:t>
      </w:r>
    </w:p>
    <w:p>
      <w:pPr>
        <w:spacing w:after="0" w:line="227"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In February 2022, the Company and Eli Lilly and Company (“Lilly”) entered into a Technology License Agreement (the “Lilly License”) under which Lilly granted a non-exclusive license to Lilly’s proprietary p-Tau 217 antibody technology for use by the Company in research use only products, services, and future in vitro diagnostics (“IVD”) applications within the field of Alzheimer’s disease. Pursuant to the Lilly License, the Company paid an upfront fee, is required to make milestone payments based on the achievement of predetermined regulatory and commercial events, and will pay royalties on net sales of licensed products.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August 2022, the Company and Harvard University (“Harvard”) entered into an exclusive license agreement (the “Harvard License Agreement”) for certain intellectual property owned by Harvard. Pursuant to the Harvard License Agreement, the Company paid an upfront fee of $0.6 million and is required to pay Harvard low single-digit royalties on net sales of products and services using the licensed technology, as well as a portion of its applicable sublicense revenues. The Company incurred no royalty expense under the Harvard License Agreement for the three and six months ended June 30, 2025 and 2024.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Harvard.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country-by-country basis as long as there is a valid claim of a licensed patent in a country. The Company is required to pay license and maintenance fees that are creditable against royalties, in addition to low single-digit royalties on direct sales and services, and a royalty on sublicense income. The Company incurred royalty expenses related to the Tufts License Agreement of $0.4 million and $0.8 million during the three and six months ended June 30, 2025, respectively, and $0.6 million and $1.1 million during the three and six months ended June 30, 2024, respectively, which were recorded in cost of product revenue on the Consolidated Statements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Tufts.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undiscounted future lease payments for non-cancelable operating leases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240" w:type="dxa"/>
            <w:vAlign w:val="bottom"/>
          </w:tcPr>
          <w:p>
            <w:pPr>
              <w:spacing w:after="0"/>
              <w:rPr>
                <w:sz w:val="16"/>
                <w:szCs w:val="16"/>
                <w:color w:val="auto"/>
              </w:rPr>
            </w:pPr>
          </w:p>
        </w:tc>
        <w:tc>
          <w:tcPr>
            <w:tcW w:w="17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of June 30, 2025</w:t>
            </w:r>
          </w:p>
        </w:tc>
      </w:tr>
      <w:tr>
        <w:trPr>
          <w:trHeight w:val="23"/>
        </w:trPr>
        <w:tc>
          <w:tcPr>
            <w:tcW w:w="9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r>
      <w:tr>
        <w:trPr>
          <w:trHeight w:val="25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r>
      <w:tr>
        <w:trPr>
          <w:trHeight w:val="26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r>
      <w:tr>
        <w:trPr>
          <w:trHeight w:val="25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6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50"/>
        </w:trPr>
        <w:tc>
          <w:tcPr>
            <w:tcW w:w="9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r>
      <w:tr>
        <w:trPr>
          <w:trHeight w:val="256"/>
        </w:trPr>
        <w:tc>
          <w:tcPr>
            <w:tcW w:w="9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43,005</w:t>
            </w:r>
          </w:p>
        </w:tc>
      </w:tr>
      <w:tr>
        <w:trPr>
          <w:trHeight w:val="250"/>
        </w:trPr>
        <w:tc>
          <w:tcPr>
            <w:tcW w:w="9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282"/>
        </w:trPr>
        <w:tc>
          <w:tcPr>
            <w:tcW w:w="9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35,534</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six months ended June 30, 2025, the Company did not enter into any material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2025, the Company entered into agreements with two entities owned by selling shareholders of Emission (refer to Note 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continue development work on certain future products for Quanterix. At June 30, 2025, the Company did not have any open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with these entities and the Company incurred operating expenses of $0.3 million during both the three and six months ended June 30, 2025, respectively.</w:t>
      </w:r>
    </w:p>
    <w:p>
      <w:pPr>
        <w:spacing w:after="0" w:line="18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third quarter of 2022, the Company entered into the Harvard License Agreement for certain intellectual property owned by Harvard (refer to Note 15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Harvard is required to pay a portion of the payments received from the Company under the Harvard License Agreement to a member of the Company’s Board of Directors. The same member of the Company’s Board of Directors is also affiliated with Mass General Brigham. Revenue recorded from sales of products and services to Harvard and Mass General Brigham was not material and $0.5 million for both the three and six months ended June 30, 2025, respectively, and not material and $0.5 million for the three and six months ended June 30, 2024, respectively. Cost of product revenue and operating expenses with Harvard and Mass General Brigham were not material for the three and six months ended June 30, 2025 and 2024, respectively. At June 30, 2025 and December 31, 2024, open payables to Harvard and Mass General Brigham were not material. Open receivables balances were $0.6 million at June 30, 2025 and were not material at December 31, 2024.</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2007, the Company entered into the Tufts License Agreement for certain intellectual property owned by Tufts (refer to Note 15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A member of the Company’s Board of Directors was previously affiliated with Tufts and continues to receive compensation from Tufts on a formulaic basis based on royalties and license payments the Company makes to Tufts. At June 30, 2025 and December 31, 2024, open payable balances to Tufts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Variable Interest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enters into relationships with, or has investments in, other entities that may be VIEs. The Company assesses the criteria in ASC 810</w:t>
      </w:r>
    </w:p>
    <w:p>
      <w:pPr>
        <w:spacing w:after="0" w:line="27"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to determine if any such entities meet the definition of a VIE and require consolidation into its financial statements. Based on the Company’s assessments, it does not have any controlling financial interests in any VIE, and therefore did not consolidate any VIE into its Consolidated Financial Statements during the three and six months ended June 30, 2025 and 2024.</w:t>
      </w:r>
    </w:p>
    <w:p>
      <w:pPr>
        <w:spacing w:after="0" w:line="184"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of June 30, 2025 and December 31, 2024, the carrying value of the Company’s investment in a VIE was $0.8 million. Refer to Note 8 </w:t>
      </w:r>
      <w:r>
        <w:rPr>
          <w:rFonts w:ascii="Times New Roman" w:cs="Times New Roman" w:eastAsia="Times New Roman" w:hAnsi="Times New Roman"/>
          <w:sz w:val="18"/>
          <w:szCs w:val="18"/>
          <w:i w:val="1"/>
          <w:iCs w:val="1"/>
          <w:color w:val="auto"/>
        </w:rPr>
        <w:t>-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of Financial Instruments </w:t>
      </w:r>
      <w:r>
        <w:rPr>
          <w:rFonts w:ascii="Times New Roman" w:cs="Times New Roman" w:eastAsia="Times New Roman" w:hAnsi="Times New Roman"/>
          <w:sz w:val="18"/>
          <w:szCs w:val="18"/>
          <w:color w:val="auto"/>
        </w:rPr>
        <w:t>for the Company’s related valuation disclosures. Maximum exposure to losses related to the VIE is limited to its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the Company does not have any future funding commitments to the VIE.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 who reviews the Company's operations and manages its business as a single operating segment as of June 30, 2025.</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proprietary digital “Simoa” detection technology is used across all parts of the business to derive revenues through the sale of instruments, consumables, Accelerator Laboratory and LDT services, and warranties. The Company’s accounting policies apply in the same manner across the business.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consolidated net loss as the measure of segment profitability (loss) as required by ASU 2023-07. The CODM uses this measure, along with the significant revenue and expense lines included in the table below, when analyzing the Company’s operations and performance and determining how to allocate resources. These measures are consistently used by the CODM in comparing budgeted results versus actuals, in determining when or where to invest resources into specific areas of the business, and for decisions on strategic initiatives.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significant segment information reviewed by the CODM to consolidated net loss: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9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40" w:type="dxa"/>
            <w:vAlign w:val="bottom"/>
          </w:tcPr>
          <w:p>
            <w:pPr>
              <w:spacing w:after="0"/>
              <w:rPr>
                <w:sz w:val="21"/>
                <w:szCs w:val="21"/>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34,127</w:t>
            </w:r>
          </w:p>
        </w:tc>
        <w:tc>
          <w:tcPr>
            <w:tcW w:w="16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w:t>
            </w:r>
          </w:p>
        </w:tc>
      </w:tr>
      <w:tr>
        <w:trPr>
          <w:trHeight w:val="25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66,447</w:t>
            </w:r>
          </w:p>
        </w:tc>
      </w:tr>
      <w:tr>
        <w:trPr>
          <w:trHeight w:val="277"/>
        </w:trPr>
        <w:tc>
          <w:tcPr>
            <w:tcW w:w="40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8"/>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Costs of goods sold and services, including shipping</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8"/>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handling costs</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w:t>
            </w:r>
          </w:p>
        </w:tc>
      </w:tr>
      <w:tr>
        <w:trPr>
          <w:trHeight w:val="211"/>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operating expenses, excluding shipping and</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handling costs (1)</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39,135</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60,813</w:t>
            </w:r>
          </w:p>
        </w:tc>
      </w:tr>
      <w:tr>
        <w:trPr>
          <w:trHeight w:val="25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segment items (2)</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140" w:type="dxa"/>
            <w:vAlign w:val="bottom"/>
          </w:tcPr>
          <w:p>
            <w:pPr>
              <w:spacing w:after="0"/>
              <w:rPr>
                <w:sz w:val="22"/>
                <w:szCs w:val="22"/>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6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0"/>
        </w:trPr>
        <w:tc>
          <w:tcPr>
            <w:tcW w:w="4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300" w:hanging="252"/>
        <w:spacing w:after="0" w:line="261" w:lineRule="auto"/>
        <w:tabs>
          <w:tab w:leader="none" w:pos="2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consist of research and development and selling, general and administrative expenses from the Consolidated Statements of Operations and exclude shipping and handling costs.</w:t>
      </w:r>
    </w:p>
    <w:p>
      <w:pPr>
        <w:ind w:left="260" w:right="700" w:hanging="252"/>
        <w:spacing w:after="0" w:line="250" w:lineRule="auto"/>
        <w:tabs>
          <w:tab w:leader="none" w:pos="2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represent discrete events, non-recurring transactions, or insignificant items that are not used by the CODM to evaluate the Company’s performance or allocate resources, and include:</w:t>
      </w:r>
    </w:p>
    <w:p>
      <w:pPr>
        <w:ind w:left="900" w:right="720" w:hanging="244"/>
        <w:spacing w:after="0" w:line="265" w:lineRule="auto"/>
        <w:tabs>
          <w:tab w:leader="none" w:pos="89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and restructuring costs – impairment charges for goodwill and other long-lived assets, and costs associated with approved restructuring plans including employee separation costs and any associated costs related to implementing a restructuring plan;</w:t>
      </w:r>
    </w:p>
    <w:p>
      <w:pPr>
        <w:ind w:left="900" w:right="480" w:hanging="244"/>
        <w:spacing w:after="0" w:line="250"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consideration – changes in the fair value of contingent consideration agreements as a result of updated valuation inputs and the passage of time;</w:t>
      </w:r>
    </w:p>
    <w:p>
      <w:pPr>
        <w:ind w:left="900" w:right="100" w:hanging="244"/>
        <w:spacing w:after="0" w:line="250" w:lineRule="auto"/>
        <w:tabs>
          <w:tab w:leader="none" w:pos="8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 costs – amortization of operating lease right-of-use assets and other facility operating expenses from leased facilities the Company is not using;</w:t>
      </w:r>
    </w:p>
    <w:p>
      <w:pPr>
        <w:ind w:left="900" w:hanging="244"/>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 interest earned on cash, cash equivalents, and marketable securities, and the accretion of discounts on marketable securities;</w:t>
      </w:r>
    </w:p>
    <w:p>
      <w:pPr>
        <w:spacing w:after="0" w:line="9" w:lineRule="exact"/>
        <w:rPr>
          <w:rFonts w:ascii="Times New Roman" w:cs="Times New Roman" w:eastAsia="Times New Roman" w:hAnsi="Times New Roman"/>
          <w:sz w:val="18"/>
          <w:szCs w:val="18"/>
          <w:color w:val="auto"/>
        </w:rPr>
      </w:pPr>
    </w:p>
    <w:p>
      <w:pPr>
        <w:ind w:left="900" w:right="300" w:hanging="244"/>
        <w:spacing w:after="0" w:line="250" w:lineRule="auto"/>
        <w:tabs>
          <w:tab w:leader="none" w:pos="8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 gains and losses on foreign currency, and other non-recurring items that are not a part of the Company’s core business operations; and</w:t>
      </w:r>
    </w:p>
    <w:p>
      <w:pPr>
        <w:ind w:left="900" w:hanging="244"/>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 – income taxes related to federal, state, and foreign jurisdictions in which the Company conducts business.</w:t>
      </w:r>
    </w:p>
    <w:p>
      <w:pPr>
        <w:spacing w:after="0" w:line="207"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CODM reviews usage of cash, cash equivalents, marketable securities, accounts receivable, and inventory as part of evaluating the Company’s performance but does not review or evaluate any other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methods used to determine segment profit or loss, or the significant segment captions, across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Restructuring Costs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May 12, 2025, the Company announced a plan to reduce operating costs and preserve cash which included a reduction in force. The plan was substantially completed by the end of the second quarter of 2025 and the Company expects to incur costs of approximately $1.5 million.</w:t>
      </w:r>
    </w:p>
    <w:p>
      <w:pPr>
        <w:spacing w:after="0" w:line="162" w:lineRule="exact"/>
        <w:rPr>
          <w:sz w:val="20"/>
          <w:szCs w:val="20"/>
          <w:color w:val="auto"/>
        </w:rPr>
      </w:pPr>
    </w:p>
    <w:p>
      <w:pPr>
        <w:jc w:val="both"/>
        <w:ind w:right="8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incurred expenses of $1.3 million related to the reduction in force, substantially all of which will be cash payments in 2025 for severance and related benefits. These expenses are recorded within impairment and restructuring on the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accrual activity and payments relating to cash-based restructuring costs for the six months ended June 30,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Severance and related benefit</w:t>
            </w:r>
          </w:p>
        </w:tc>
      </w:tr>
      <w:tr>
        <w:trPr>
          <w:trHeight w:val="214"/>
        </w:trPr>
        <w:tc>
          <w:tcPr>
            <w:tcW w:w="8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costs</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16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accrual for severance and related benefit costs is included in accrued compensation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Akoya Biosciences, Inc.</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July 8, 2025 (the “Closing Date”), the Company, completed the transactions contemplated by the Amended and Restated Agreement and Plan of Merger dated as of April 28, 2025 (the “Merger Agreement”), by and among the Company, Wellfleet Merger Sub, Inc., a Delaware corporation and wholly owned subsidiary of the Company (“Merger Sub”), and Akoya Biosciences, Inc., a Delaware corporation (“Akoya”). On the Closing Date, Merger Sub merged with and into Akoya (the “Merger”), with Akoya surviving the Merger as a wholly owned subsidiary of the Company.</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Akoya is a life sciences technology company based in Marlborough, Massachusetts delivering spatial biology solutions focused on transforming discovery, clinical research and diagnostics. Spatial phenotyping refers to technology that enables academic and biopharma scientists to detect and map the distribution of cell types and biomarkers across whole tissue samples at single-cell resolution, enabling advancements in understanding of disease progression and patient response to therapy. The acquisition of Akoya is part of the Company's plans to establish the first fully integrated technology ecosystem to identify and measure biomarkers across tissue and blood, expand its technology offerings into oncology and immunology, and expand its portfolio of laboratory service offerings.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each share of common stock, par value $0.00001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of Akoya outstanding immediately prior to the Effective Time was converted into the right to receive the following consideration: (a) 0.1470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paid and nonassessable share of common stock, par value $0.001 per share, of the Company (the shares so delivered in respect of each share of Akoya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“Per Share Stock Consideration”) and, if applicable, cash in lieu of fractional shares, subject to any applicable withholding and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$0.37 in cash, without interest (the “Per Share Cash Consideration”). Total consideration paid was approximately 7.8 million shares of Quanterix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$19.6 million of cash.</w:t>
      </w:r>
    </w:p>
    <w:p>
      <w:pPr>
        <w:spacing w:after="0" w:line="20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acquisition of Akoya, on the Closing Date, the Company paid $82.1 million to settle Akoya's debt financing arrangement with Midcap Financial Trust. The payment included $75.2 million to pay off the principal outstanding and $6.9 million in early termination, legal, and prepayment fees.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initial accounting for the acquisition was not complete at the time of filing of this Quarterly Report on Form 10-Q due to the timing of the acquisition. As a result, the full disclosures required under ASC 805-10-50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cannot be made at this time.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Company announced plans to reduce costs and streamline operations to realize anticipated synergies and other benefits of the Akoya acquisition, which included reductions in force and elimination of duplicate corporate positions. These reductions in force are expected to be substantially completed in the third quarter of 2025. Under these plans, the Company expects to incur expenses of $5.8 million, in addition to the expenses incurred from the May 2025 restructuring (refer to Note 19 </w:t>
      </w:r>
      <w:r>
        <w:rPr>
          <w:rFonts w:ascii="Times New Roman" w:cs="Times New Roman" w:eastAsia="Times New Roman" w:hAnsi="Times New Roman"/>
          <w:sz w:val="18"/>
          <w:szCs w:val="18"/>
          <w:i w:val="1"/>
          <w:iCs w:val="1"/>
          <w:color w:val="auto"/>
        </w:rPr>
        <w:t>- Restructuring Costs</w:t>
      </w:r>
      <w:r>
        <w:rPr>
          <w:rFonts w:ascii="Times New Roman" w:cs="Times New Roman" w:eastAsia="Times New Roman" w:hAnsi="Times New Roman"/>
          <w:sz w:val="18"/>
          <w:szCs w:val="18"/>
          <w:color w:val="auto"/>
        </w:rPr>
        <w:t>), substantially all of which will be cash expenditures incurred in 2025 for severance and related benefits.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to Consolidated Financial Statements in the section titled “Part I. Item 1. Financial Statements (Unaudited)” in this Quarterly Report on Form 10-Q and our audited Consolidated Financial Statements and Management’s Discussion and Analysis of Financial Condition and Results of Operations included in our Annual Report on Form 10-K for the year ended December 31, 2024 (the “Form 10-K”), as filed with the U.S. Securities and Exchange Commission (the “SEC”) on March 17, 2025.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in the sections titled “Part II, Item 1A. Risk Factors” and “Note Regarding Forward-Looking Statements” included in this Quarterly Report on Form 10-Q or in the section titled “Part I, Item 1A. Risk Factors” of our Form 10-K, as updated in the section titled “Part II, Item 1A. Risk Factors” in our Quarterly Report on Form 10-Q for the quarter ended March 31, 2025, as filed with the SEC on May 12, 2025. Unless the context otherwise requires, the terms “Quanterix,” the “Company,” “we,” “it,” “us, “and “our” in this Quarterly Report on Form 10-Q refer to Quanterix Corporation and its consolidated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a life sciences company that develops and commercializes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enables the development of novel therapies and diagnostics and has the potential to identify early-stage disease markers before symptoms appear to facilitate a paradigm shift in healthcare from an emphasis on later-stage treatment to a focus on earlier detection, monitoring, prognosis, and, ultimately, prevention. Our Simoa platforms have achieved significant commercial adoption with an installed base of over 1,000 instruments, and scientific validation with citations in more than 3,600 scientific publications in areas of high unmet medical need and research interest such as neurology, oncology and immunology, and inflammation.</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through the sale of these consumables. As the installed base of our Simoa instruments increases, we expect total consumables revenue to increase.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launched in January 2014), collectively “HD Instruments”, that is designed to deliver significant productivity and operational efficiency improvements, as well as greater user flexibility. The HD-X uses our bead-based technology, and assays run on the HD-X are fully automated. At June 30, 2025, approximately 84% of the HD Instrument installed base were HD-X instruments.</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Further, we launched our SR-X instrument in 2017 as a compact desktop instrument with a lower price point, more flexible assay preparation, and a wider range of applications. The SR-X utilizes the same Simoa bead-based technology and assay kits as the HD-X.</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With our acquisition of Aushon BioSystems, Inc. in 2018, we acquired a CLIA-certified laboratory and proprietary sensitive planar array detection technology. The Clinical Laboratory Improvement Amendments of 1988 (“CLIA”) are federal regulatory standards that apply to all clinical laboratory testing performed on humans in the United States (with the exception of research testing that does not report patient specific results). Leveraging our proprietary 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UmanDiagnostics AB (“Uman”), a company located in Umeå, Sweden, supplies neurofilament light (“NfL”), antibodies, and enzyme-linked immunoassay (“ELISA”) kits, which are used by researchers and biopharmaceutical and diagnostics companies world-wide in the detection of NfL to advance the development of therapeutics and diagnostics for neurodegenerative conditions.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also provide contract research services for customers and Laboratory Developed Test (“LDT”) services through our CLIA-certified Accelerator Laboratory (the “Accelerator Laboratory”). The Accelerator Laboratory provides customers with access to our Simoa technology and our Lucent Diagnostics clinical testing services, and supports multiple projects and services, including sample testing, homebrew assay development, custom assay development, and blood-based biomarker testing. To date, we have completed over 2,500 projects for more than 500 customers from all over the world using our Simoa platforms.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an extensive base of customers including pharmaceutical, biotechnology, contract research organizations, academic, and governmental research institutions. We sell our instruments, consumables, and services through a direct field sales force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we had cash, cash equivalents, and marketable securities of $261.2 million and restricted cash of $2.6 million. Since our inception, we have incurred annual net losses. Our net losses were $30.0 million and $50.5 million for the three and six months ended June 30, 2025, respectively, and $7.4 million and $18.6 million for the three and six months ended June 30, 2024, respectively. As of June 30, 2025, we had an accumulated deficit of $520.6 million and stockholders’ equity of $292.5 million.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incur operating losses at least through the next 12 months and we expect our expenses to increase as we:</w:t>
      </w:r>
    </w:p>
    <w:p>
      <w:pPr>
        <w:spacing w:after="0" w:line="225" w:lineRule="exact"/>
        <w:rPr>
          <w:sz w:val="20"/>
          <w:szCs w:val="20"/>
          <w:color w:val="auto"/>
        </w:rPr>
      </w:pPr>
    </w:p>
    <w:p>
      <w:pPr>
        <w:ind w:left="980" w:right="4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or to develop and launch, new assays and instruments. These expenses could be particularly significant if any of our products become subject to additional or more burdensome regulation by the U.S. Food and Drug Administration (the “FDA”);</w:t>
      </w:r>
    </w:p>
    <w:p>
      <w:pPr>
        <w:spacing w:after="0" w:line="17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Lucent Diagnostics, additional LDTs, and other diagnostics initiatives including entry into translational pharma and clinical diagnostic markets;</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Premarket Approval (“PMA”), de novo classification, or 510(k) clearance from the FDA for our existing products or new products, including new assays and instruments, if or when we decide to market products for use in the prevention, diagnosis, or treatment of a disease or other condition;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and integrate companies or technologies that may be complementary to our business, including our acquisition of Akoya Biosciences, Inc. (“Akoya”) in July 2025;</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required earnout payments under the Emission, Inc. ("Emission") acquisition agreement, which are contingent upon completion of certain technical milestones and the achievement of certain performance milestones;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or in-license other products and technologies;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enhance operational, financial, and management information systems.</w:t>
      </w:r>
    </w:p>
    <w:p>
      <w:pPr>
        <w:spacing w:after="0" w:line="225"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We believe the acquisition of Akoya and subsequent integration activities should, over time, generate synergies that will offset the expenses and operating losses we otherwise expect to incur. As further described in the section titled "Recent Business Developments - Restructuring Costs" below, in July 2025 we implemented actions to realize some of the synergies of the acquisition. As a result of these actions and the continued integration activities, we expect the combined company will be cash flow breakeven in 2026.</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Akoya</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July 8, 2025, we completed the transactions contemplated by the Amended and Restated Agreement and Plan of Merger dated as of April 28, 2025 (the “Merger Agreement”) to acquire Akoya, a life sciences technology company based in Marlborough, Massachusetts delivering spatial biology solutions through the power of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 commercializes proprietary instrument platforms, reagents, software, and services that offer end-to-end solutions to perform tissue analysis and spatial phenotyping from discovery through translational and clinical research and diagnostics.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 newly formed, wholly owned subsidiary of Quanterix merged with and into Akoya, with Akoya continuing as the surviving corporation and becoming a wholly owned subsidiary of Quanterix (the "Merger"). At the effective time of the Merger (the “Effective Time”), each share of Akoya common stock outstanding immediately prior to the Effective Time was converted into the right to receive: (a) 0.1470 of a share of our common stock and, if applicable, cash in lieu of fractional shares, subject to any applicable withholding and (b) $0.37 in cash, without interest.</w:t>
      </w:r>
    </w:p>
    <w:p>
      <w:pPr>
        <w:spacing w:after="0" w:line="18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acquisition, on July 8, 2025, we paid $82.1 million to settle Akoya's debt financing arrangement with Midcap Financial Trust (the “Midcap Trust Term Loan”). The payment included a $75.2 million payoff of the principal outstanding and $6.9 million in early termination, legal, and prepayment fees.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Emission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8, 2025, we acquired all of the issued and outstanding shares of capital stock of Emission, a life sciences manufacturing company based in Georgetown, Texas. Emission produces large-scale, highly-uniform dye-encapsulating magnetic beads designed for low and mid-plex assays and a mid-plex platform that reads its proprietary beads. The transaction is part of our plans to secure the use of Emission’s highly controlled beads in our next generation platforms and expansion into a new multi-plex segment targeting third-party original equipment manufacturer customers. As part of the acquisition of Emission, we made an upfront payment of $9.0 million, with up to an additional $1.0 million payable at the end of the holdback period and an additional $10.0 million payable upon completion of certain technical milestones. Additionally, the selling shareholders of Emission (collectively, the “Emission Shareholders”) may receive up to an additional $50.0 million in earnout payments through December 31, 2029, contingent upon the achievement of certain performance milestones.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acquisition, the parties entered into a call option agreement (the “Option Agreement”), in which the Emission Shareholders have the right to repurchase all of the outstanding capital stock of Emission for $10.0 million after five years if Emission’s revenues do not exceed $5.0 million in any one year during such five-year period. If the Emission Shareholders exercise the right to repurchase Emission under the Option Agreement and consummate the repurchase, we will retain a perpetual, fully-paid, irrevocable license to all Emission intellectual property required to continue to manufacture and commercialize our products.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we assessed several events and circumstances, including a larger than expected decline in the Company's revenue and bookings primarily due to the rapidly changing macro-economic conditions resulting from reductions in US federal research funding, reductions in research and development spending by larger pharmaceutical customers, and new import tariffs. Based on a quantitative impairment test of our goodwill as of June 30, 2025, which estimated the implied fair value of our single reporting unit under a market valuation approach (using inputs such as our quoted stock price), we determined our entire goodwill balance was impaired. As a result, we recorded a $6.4 million impairment charge in the three months ended June 30, 2025.</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May and July 2025, we announced plans to reduce operating costs, preserve cash, and realize anticipated synergies and other benefits of the Akoya acquisition. As part of these plans, we have implemented actions to reduce our operating expenses by approximately $30.0 million in 2025, which we expect to result in annualized savings of approximately $67.0 million. We expect to generate additional cost savings over the remainder of 2025, which we believe will increase our annualized savings to approximately $85.0 million.</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incurred expenses of $1.3 million in the second quarter of 2025 and expect to incur expenses of approximately $5.3 million in the third quarter of 2025 related to the reductions in force, substantially all of which relate to cash expenditures for severance and related benefits. The reductions in force are expected to be substantially completed in the third quarter of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ISO 13485 Certification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January 31, 2025, we received ISO 13485 certification for our operations in Billerica, Massachusetts. ISO 13485 certification indicates that a company has implemented a quality management system that meets international requirements for medical device manufacturing.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June 30, 2025 and 2024:</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8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8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lease costs</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and restructuring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8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8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6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5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8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8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(22,816)</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5"/>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Total revenues decreased $9.9 million, or 29%, to $24.5 million for the three months ended June 30, 2025, compared to $34.4 million for the three months ended June 30, 2024.</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202124"/>
        </w:rPr>
        <w:t xml:space="preserve">For the </w:t>
      </w:r>
      <w:r>
        <w:rPr>
          <w:rFonts w:ascii="Times New Roman" w:cs="Times New Roman" w:eastAsia="Times New Roman" w:hAnsi="Times New Roman"/>
          <w:sz w:val="18"/>
          <w:szCs w:val="18"/>
          <w:color w:val="000000"/>
        </w:rPr>
        <w:t>three months ended June 30, 2025, product revenue consisted of instrument sales of $2.0 million and sales of consumables and other</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products of $14.9 million. </w:t>
      </w:r>
      <w:r>
        <w:rPr>
          <w:rFonts w:ascii="Times New Roman" w:cs="Times New Roman" w:eastAsia="Times New Roman" w:hAnsi="Times New Roman"/>
          <w:sz w:val="18"/>
          <w:szCs w:val="18"/>
          <w:color w:val="202124"/>
        </w:rPr>
        <w:t>Product revenue</w:t>
      </w:r>
      <w:r>
        <w:rPr>
          <w:rFonts w:ascii="Times New Roman" w:cs="Times New Roman" w:eastAsia="Times New Roman" w:hAnsi="Times New Roman"/>
          <w:sz w:val="18"/>
          <w:szCs w:val="18"/>
          <w:color w:val="000000"/>
        </w:rPr>
        <w:t xml:space="preserve"> decreased $3.1 million</w:t>
      </w:r>
      <w:r>
        <w:rPr>
          <w:rFonts w:ascii="Times New Roman" w:cs="Times New Roman" w:eastAsia="Times New Roman" w:hAnsi="Times New Roman"/>
          <w:sz w:val="18"/>
          <w:szCs w:val="18"/>
          <w:color w:val="202124"/>
        </w:rPr>
        <w:t>, or</w:t>
      </w:r>
      <w:r>
        <w:rPr>
          <w:rFonts w:ascii="Times New Roman" w:cs="Times New Roman" w:eastAsia="Times New Roman" w:hAnsi="Times New Roman"/>
          <w:sz w:val="18"/>
          <w:szCs w:val="18"/>
          <w:color w:val="000000"/>
        </w:rPr>
        <w:t xml:space="preserve"> 15%</w:t>
      </w:r>
      <w:r>
        <w:rPr>
          <w:rFonts w:ascii="Times New Roman" w:cs="Times New Roman" w:eastAsia="Times New Roman" w:hAnsi="Times New Roman"/>
          <w:sz w:val="18"/>
          <w:szCs w:val="18"/>
          <w:color w:val="202124"/>
        </w:rPr>
        <w:t>, to</w:t>
      </w:r>
      <w:r>
        <w:rPr>
          <w:rFonts w:ascii="Times New Roman" w:cs="Times New Roman" w:eastAsia="Times New Roman" w:hAnsi="Times New Roman"/>
          <w:sz w:val="18"/>
          <w:szCs w:val="18"/>
          <w:color w:val="000000"/>
        </w:rPr>
        <w:t xml:space="preserve"> $16.8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June 30, 2025</w:t>
      </w:r>
      <w:r>
        <w:rPr>
          <w:rFonts w:ascii="Times New Roman" w:cs="Times New Roman" w:eastAsia="Times New Roman" w:hAnsi="Times New Roman"/>
          <w:sz w:val="18"/>
          <w:szCs w:val="18"/>
          <w:color w:val="202124"/>
        </w:rPr>
        <w:t>, compared to</w:t>
      </w:r>
      <w:r>
        <w:rPr>
          <w:rFonts w:ascii="Times New Roman" w:cs="Times New Roman" w:eastAsia="Times New Roman" w:hAnsi="Times New Roman"/>
          <w:sz w:val="18"/>
          <w:szCs w:val="18"/>
          <w:color w:val="000000"/>
        </w:rPr>
        <w:t xml:space="preserve"> $19.9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June 30, 2024</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000000"/>
        </w:rPr>
        <w:t xml:space="preserve"> The decrease was primarily due to a slowdown in US federal research funding that reduced demand from academic customers, and rapidly changing macro-economic conditions that caused decreased demand from pharmaceutical customers as research and development spending and clinical trials slowed down. We expect softness in instrument sales to continue in 2025 as a result of what we believe is a constrained capital funding environment. We believe instrument sales will recover with an improvement in the capital funding environment and further believe the introduction of our Simoa One instrument, which is expected to launch by the end of 2025, will help grow instrument sales in future years. We also expect the uncertain macro-economic environment to cause fluctuations in consumable sales for the remainder of 2025.</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Service revenue decreased $6.4 million, or 48%, to $7.1 million, for the three months ended June 30, 2025, compared to $13.5 million for the three months ended June 30, 2024. The decrease was primarily due to the completion of a collaboration agreement with Eli Lilly and Company in the third quarter of 2024, which previously generated $1.5 million of revenue per quarter, as well as other large pharmaceutical projects in 2024 that have not repeated. While we continue to see strong opportunities with customers, the uncertain macro-economic environment is expected to continue to drive fluctuations in Accelerator Laboratory revenue in 2025.</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202124"/>
        </w:rPr>
        <w:t xml:space="preserve">Collaboration and license revenue </w:t>
      </w:r>
      <w:r>
        <w:rPr>
          <w:rFonts w:ascii="Times New Roman" w:cs="Times New Roman" w:eastAsia="Times New Roman" w:hAnsi="Times New Roman"/>
          <w:sz w:val="18"/>
          <w:szCs w:val="18"/>
          <w:color w:val="000000"/>
        </w:rPr>
        <w:t>decreased $0.2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91%</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June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$0.7</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June 30, 2024</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000000"/>
        </w:rPr>
        <w:t xml:space="preserve"> The decrease was primarily due to LDT and other diagnostic related license revenues in 2024 that have not repeated.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202124"/>
        </w:rPr>
        <w:t xml:space="preserve">Total cost of goods sold and services </w:t>
      </w:r>
      <w:r>
        <w:rPr>
          <w:rFonts w:ascii="Times New Roman" w:cs="Times New Roman" w:eastAsia="Times New Roman" w:hAnsi="Times New Roman"/>
          <w:sz w:val="18"/>
          <w:szCs w:val="18"/>
          <w:color w:val="000000"/>
        </w:rPr>
        <w:t>increased $1.0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$13.2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June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$12.1</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June 30, 2024</w:t>
      </w:r>
      <w:r>
        <w:rPr>
          <w:rFonts w:ascii="Times New Roman" w:cs="Times New Roman" w:eastAsia="Times New Roman" w:hAnsi="Times New Roman"/>
          <w:sz w:val="18"/>
          <w:szCs w:val="18"/>
          <w:color w:val="202124"/>
        </w:rPr>
        <w:t>.</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202124"/>
        </w:rPr>
        <w:t xml:space="preserve">Cost of product revenue </w:t>
      </w:r>
      <w:r>
        <w:rPr>
          <w:rFonts w:ascii="Times New Roman" w:cs="Times New Roman" w:eastAsia="Times New Roman" w:hAnsi="Times New Roman"/>
          <w:sz w:val="18"/>
          <w:szCs w:val="18"/>
          <w:color w:val="000000"/>
        </w:rPr>
        <w:t>increased $2.6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39%</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$9.3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June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$6.7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June 30, 2024</w:t>
      </w:r>
      <w:r>
        <w:rPr>
          <w:rFonts w:ascii="Times New Roman" w:cs="Times New Roman" w:eastAsia="Times New Roman" w:hAnsi="Times New Roman"/>
          <w:sz w:val="18"/>
          <w:szCs w:val="18"/>
          <w:color w:val="202124"/>
        </w:rPr>
        <w:t xml:space="preserve">.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02124"/>
        </w:rPr>
        <w:t xml:space="preserve"> was primarily due </w:t>
      </w:r>
      <w:r>
        <w:rPr>
          <w:rFonts w:ascii="Times New Roman" w:cs="Times New Roman" w:eastAsia="Times New Roman" w:hAnsi="Times New Roman"/>
          <w:sz w:val="18"/>
          <w:szCs w:val="18"/>
          <w:color w:val="000000"/>
        </w:rPr>
        <w:t>to (1) an increase in the inventory reserve for expiring materials, (2) decreased</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capitalization of labor and overhead costs as a result of lower production volume and output, and (3) an increase from the amortization of the intangible asset acquired as part of the Emission acquisition in January 2025. These increases were partially offset by lower royalty expenses due to lower sales.</w:t>
      </w:r>
    </w:p>
    <w:p>
      <w:pPr>
        <w:spacing w:after="0" w:line="166" w:lineRule="exact"/>
        <w:rPr>
          <w:sz w:val="20"/>
          <w:szCs w:val="20"/>
          <w:color w:val="auto"/>
        </w:rPr>
      </w:pPr>
    </w:p>
    <w:p>
      <w:pPr>
        <w:ind w:right="340" w:firstLine="648"/>
        <w:spacing w:after="0" w:line="242" w:lineRule="auto"/>
        <w:rPr>
          <w:sz w:val="20"/>
          <w:szCs w:val="20"/>
          <w:color w:val="auto"/>
        </w:rPr>
      </w:pPr>
      <w:r>
        <w:rPr>
          <w:rFonts w:ascii="Times New Roman" w:cs="Times New Roman" w:eastAsia="Times New Roman" w:hAnsi="Times New Roman"/>
          <w:sz w:val="18"/>
          <w:szCs w:val="18"/>
          <w:color w:val="202124"/>
        </w:rPr>
        <w:t xml:space="preserve">Cost of service and other revenue </w:t>
      </w:r>
      <w:r>
        <w:rPr>
          <w:rFonts w:ascii="Times New Roman" w:cs="Times New Roman" w:eastAsia="Times New Roman" w:hAnsi="Times New Roman"/>
          <w:sz w:val="18"/>
          <w:szCs w:val="18"/>
          <w:color w:val="000000"/>
        </w:rPr>
        <w:t>decreased $1.6 million, or 29%, to $3.9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June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$5.5</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June 30, 2024. </w:t>
      </w:r>
      <w:r>
        <w:rPr>
          <w:rFonts w:ascii="Times New Roman" w:cs="Times New Roman" w:eastAsia="Times New Roman" w:hAnsi="Times New Roman"/>
          <w:sz w:val="18"/>
          <w:szCs w:val="18"/>
          <w:color w:val="202124"/>
        </w:rPr>
        <w:t>This</w:t>
      </w:r>
      <w:r>
        <w:rPr>
          <w:rFonts w:ascii="Times New Roman" w:cs="Times New Roman" w:eastAsia="Times New Roman" w:hAnsi="Times New Roman"/>
          <w:sz w:val="18"/>
          <w:szCs w:val="18"/>
          <w:color w:val="000000"/>
        </w:rPr>
        <w:t xml:space="preserve"> decrease </w:t>
      </w:r>
      <w:r>
        <w:rPr>
          <w:rFonts w:ascii="Times New Roman" w:cs="Times New Roman" w:eastAsia="Times New Roman" w:hAnsi="Times New Roman"/>
          <w:sz w:val="18"/>
          <w:szCs w:val="18"/>
          <w:color w:val="202124"/>
        </w:rPr>
        <w:t>was due to lower volumes of</w:t>
      </w:r>
      <w:r>
        <w:rPr>
          <w:rFonts w:ascii="Times New Roman" w:cs="Times New Roman" w:eastAsia="Times New Roman" w:hAnsi="Times New Roman"/>
          <w:sz w:val="18"/>
          <w:szCs w:val="18"/>
          <w:color w:val="000000"/>
        </w:rPr>
        <w:t xml:space="preserve"> sample testing and assay development services in our Accelerator Laboratory and a decrease in headcount and related compensation and benefits costs from the May 2025 restructuring.</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$0.9 million, or 11%, to $9.1 million for the three months ended June 30, 2025, compared to $8.2 million for the three months ended June 30, 2024.</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$0.9 million increase was partially due to a non-recurring $2.1 million charge associated with the contingent compensation payable under the acquisition of Emission. Excluding the effect of this charge, research and development expenses decreased $1.2 million from the prior year primarily due to a $1.6 million decrease in costs of outside services, research lab supplies, and equipment to enable product development. We believe that our continued investment in research and development is essential to our long-term competitive position. We expect that the realization of anticipated synergies from the acquisition of Akoya should enable us to maintain research and development expense at a more consistent level in future periods.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$7.3 million, or 30%, to $31.4 million for the three months ended June 30, 2025, compared to $24.1 million for the three months ended June 30, 2024. Included within selling, general, and administrative expense are shipping and handling costs for product sales of $1.3 million and $2.1 million for the three months ended June 30, 2025 and 2024, respectively.</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$7.3 million increase in selling, general and administrative expense was partially due to $6.2 million of non-recurring costs, which included a $4.1 million increase in acquisition costs related to the acquisition of Akoya and a $2.1 million charge associated with the contingent compensation payable under the acquisition of Emission. Excluding the effect of these costs, the remaining $1.1 million increase was due to (1) a $0.7 million increase in professional services and consulting fees, primarily related to our efforts to remediate the material weaknesses in our internal control over financial reporting described in our Form 10-K, (2) a $0.7 million increase in compensation, benefit, and stock-based compensation expenses, (3) a $0.6 million one-time reimbursement in 2024 for a process improvement project, and (4) a $0.5 million increase related to a leased facility we began using in the fourth quarter of 2024. These increases were partially offset by a $0.8 million decrease in shipping and handling costs primarily due to lower sales and a $0.7 million decrease in our accounts receivable reserve due to improved collections efforts. We do not expect selling, general and administrative expenses to increase in future periods at the same rate as total revenue or research and development expenses.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Other lease costs decreased $0.6 million, or 68%, to $0.3 million for the three months ended June 30, 2025, as compared to $0.9 million for the three months ended June 30, 2024. In the fourth quarter of 2024, we began using one of the leased facilities that we did not occupy as a result of the restructuring and strategic realignment plan in August 2022. Accordingly, as of the fourth quarter of 2024, the amortization of the operating lease right-of-use asset and related leased facility operating expenses at this facility are no longer recorded in other lease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Costs</w:t>
      </w:r>
    </w:p>
    <w:p>
      <w:pPr>
        <w:spacing w:after="0" w:line="22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We recorded impairment and restructuring costs of $7.7 million for the three months ended June 30, 2025 relating to a goodwill impairment charge and severance and related benefit expenses from the May 2025 restructuring. No such costs were recorded in the three months ended June 30, 2024,</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Interest income decreased $1.0 million, or 27%, to $2.7 million for the three months ended June 30, 2025, as compared to $3.7 million for the three months ended June 30, 2024. The decrease in fair value was primarily due to lower interest rates and a lower balance of cash, cash equivalents, and marketable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contingent consideration decreased $4.3 million, or 100%, for the three months ended June 30, 2025. The contingent consideration arrangement relates to the Emission acquisition that closed in the first quarter of 2025. The decrease was due to updates to the valuation inputs and the passage of time between the acquisition date and end of the quarter.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Income tax benefit was $0.1 million for the three months ended June 30, 2025 as compared to income tax expense of $0.1 million for the three months ended June 30, 2024.</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Six Months Ended June 30, 2025 and 2024:</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3"/>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33"/>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13"/>
        </w:trPr>
        <w:tc>
          <w:tcPr>
            <w:tcW w:w="3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
        </w:trPr>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8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66,447</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lease costs</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and restructuring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91,183</w:t>
            </w:r>
          </w:p>
        </w:tc>
        <w:tc>
          <w:tcPr>
            <w:tcW w:w="8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66,881</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(63,467)</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6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8"/>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8"/>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0"/>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(53,503)</w:t>
            </w:r>
          </w:p>
        </w:tc>
        <w:tc>
          <w:tcPr>
            <w:tcW w:w="8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(39,144)</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7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Total revenues decreased $11.6 million, or 18%, to $54.8 million for the six months ended June 30, 2025, compared to $66.4 million for the six months ended June 30, 2024.</w:t>
      </w:r>
    </w:p>
    <w:p>
      <w:pPr>
        <w:spacing w:after="0" w:line="16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202124"/>
        </w:rPr>
        <w:t xml:space="preserve">For the </w:t>
      </w:r>
      <w:r>
        <w:rPr>
          <w:rFonts w:ascii="Times New Roman" w:cs="Times New Roman" w:eastAsia="Times New Roman" w:hAnsi="Times New Roman"/>
          <w:sz w:val="18"/>
          <w:szCs w:val="18"/>
          <w:color w:val="000000"/>
        </w:rPr>
        <w:t>six months ended June 30, 2025, product revenue consisted of instrument sales of $4.6 million and sales of consumables and other</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products of $33.0 million. </w:t>
      </w:r>
      <w:r>
        <w:rPr>
          <w:rFonts w:ascii="Times New Roman" w:cs="Times New Roman" w:eastAsia="Times New Roman" w:hAnsi="Times New Roman"/>
          <w:sz w:val="18"/>
          <w:szCs w:val="18"/>
          <w:color w:val="202124"/>
        </w:rPr>
        <w:t>Product revenue</w:t>
      </w:r>
      <w:r>
        <w:rPr>
          <w:rFonts w:ascii="Times New Roman" w:cs="Times New Roman" w:eastAsia="Times New Roman" w:hAnsi="Times New Roman"/>
          <w:sz w:val="18"/>
          <w:szCs w:val="18"/>
          <w:color w:val="000000"/>
        </w:rPr>
        <w:t xml:space="preserve"> decreased $2.0 million</w:t>
      </w:r>
      <w:r>
        <w:rPr>
          <w:rFonts w:ascii="Times New Roman" w:cs="Times New Roman" w:eastAsia="Times New Roman" w:hAnsi="Times New Roman"/>
          <w:sz w:val="18"/>
          <w:szCs w:val="18"/>
          <w:color w:val="202124"/>
        </w:rPr>
        <w:t>, or</w:t>
      </w:r>
      <w:r>
        <w:rPr>
          <w:rFonts w:ascii="Times New Roman" w:cs="Times New Roman" w:eastAsia="Times New Roman" w:hAnsi="Times New Roman"/>
          <w:sz w:val="18"/>
          <w:szCs w:val="18"/>
          <w:color w:val="000000"/>
        </w:rPr>
        <w:t xml:space="preserve"> 5%</w:t>
      </w:r>
      <w:r>
        <w:rPr>
          <w:rFonts w:ascii="Times New Roman" w:cs="Times New Roman" w:eastAsia="Times New Roman" w:hAnsi="Times New Roman"/>
          <w:sz w:val="18"/>
          <w:szCs w:val="18"/>
          <w:color w:val="202124"/>
        </w:rPr>
        <w:t>, to</w:t>
      </w:r>
      <w:r>
        <w:rPr>
          <w:rFonts w:ascii="Times New Roman" w:cs="Times New Roman" w:eastAsia="Times New Roman" w:hAnsi="Times New Roman"/>
          <w:sz w:val="18"/>
          <w:szCs w:val="18"/>
          <w:color w:val="000000"/>
        </w:rPr>
        <w:t xml:space="preserve"> $37.6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six months ended June 30, 2025</w:t>
      </w:r>
      <w:r>
        <w:rPr>
          <w:rFonts w:ascii="Times New Roman" w:cs="Times New Roman" w:eastAsia="Times New Roman" w:hAnsi="Times New Roman"/>
          <w:sz w:val="18"/>
          <w:szCs w:val="18"/>
          <w:color w:val="202124"/>
        </w:rPr>
        <w:t>, compared to</w:t>
      </w:r>
      <w:r>
        <w:rPr>
          <w:rFonts w:ascii="Times New Roman" w:cs="Times New Roman" w:eastAsia="Times New Roman" w:hAnsi="Times New Roman"/>
          <w:sz w:val="18"/>
          <w:szCs w:val="18"/>
          <w:color w:val="000000"/>
        </w:rPr>
        <w:t xml:space="preserve"> $39.6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six months ended June 30, 2024</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000000"/>
        </w:rPr>
        <w:t xml:space="preserve"> The decrease was primarily due to a slowdown in US federal research funding that reduced demand from academic customers, and rapidly changing macro-economic conditions that caused decreased demand from pharmaceutical customers as research and development spending and clinical trials slowed down. We expect softness in instrument sales to continue in 2025 as a result of what we believe is a constrained capital funding environment. We believe instrument sales will recover with an improvement in the capital funding environment and further believe the introduction of our Simoa One instrument, which is expected to launch by the end of 2025, will help grow instrument sales in future years. We also expect the uncertain macro-economic environment to cause fluctuations in consumable sales for the remainder of 2025.</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Service revenue decreased $9.6 million, or 38%, to $15.9 million, for the six months ended June 30, 2025, compared to $25.5 million for the six months ended June 30, 2024. The decrease was primarily due to the completion of a collaboration agreement with Eli Lilly and Company in the third quarter of 2024, which previously generated $1.5 million of revenue per quarter, as well as other large pharmaceutical projects in 2024 that have not repeated. While we continue to see strong opportunities with customers, the uncertain macro-economic environment is expected to continue to drive fluctuations in Accelerator Laboratory revenue in 2025.</w:t>
      </w:r>
    </w:p>
    <w:p>
      <w:pPr>
        <w:spacing w:after="0" w:line="183"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202124"/>
        </w:rPr>
        <w:t xml:space="preserve">Collaboration and license revenue </w:t>
      </w:r>
      <w:r>
        <w:rPr>
          <w:rFonts w:ascii="Times New Roman" w:cs="Times New Roman" w:eastAsia="Times New Roman" w:hAnsi="Times New Roman"/>
          <w:sz w:val="17"/>
          <w:szCs w:val="17"/>
          <w:color w:val="000000"/>
        </w:rPr>
        <w:t>increased $0.4 million</w:t>
      </w:r>
      <w:r>
        <w:rPr>
          <w:rFonts w:ascii="Times New Roman" w:cs="Times New Roman" w:eastAsia="Times New Roman" w:hAnsi="Times New Roman"/>
          <w:sz w:val="17"/>
          <w:szCs w:val="17"/>
          <w:color w:val="202124"/>
        </w:rPr>
        <w:t xml:space="preserve">, or </w:t>
      </w:r>
      <w:r>
        <w:rPr>
          <w:rFonts w:ascii="Times New Roman" w:cs="Times New Roman" w:eastAsia="Times New Roman" w:hAnsi="Times New Roman"/>
          <w:sz w:val="17"/>
          <w:szCs w:val="17"/>
          <w:color w:val="000000"/>
        </w:rPr>
        <w:t>47%</w:t>
      </w:r>
      <w:r>
        <w:rPr>
          <w:rFonts w:ascii="Times New Roman" w:cs="Times New Roman" w:eastAsia="Times New Roman" w:hAnsi="Times New Roman"/>
          <w:sz w:val="17"/>
          <w:szCs w:val="17"/>
          <w:color w:val="202124"/>
        </w:rPr>
        <w:t xml:space="preserve">, to </w:t>
      </w:r>
      <w:r>
        <w:rPr>
          <w:rFonts w:ascii="Times New Roman" w:cs="Times New Roman" w:eastAsia="Times New Roman" w:hAnsi="Times New Roman"/>
          <w:sz w:val="17"/>
          <w:szCs w:val="17"/>
          <w:color w:val="000000"/>
        </w:rPr>
        <w:t>$1.3 million</w:t>
      </w:r>
      <w:r>
        <w:rPr>
          <w:rFonts w:ascii="Times New Roman" w:cs="Times New Roman" w:eastAsia="Times New Roman" w:hAnsi="Times New Roman"/>
          <w:sz w:val="17"/>
          <w:szCs w:val="17"/>
          <w:color w:val="202124"/>
        </w:rPr>
        <w:t xml:space="preserve"> for the </w:t>
      </w:r>
      <w:r>
        <w:rPr>
          <w:rFonts w:ascii="Times New Roman" w:cs="Times New Roman" w:eastAsia="Times New Roman" w:hAnsi="Times New Roman"/>
          <w:sz w:val="17"/>
          <w:szCs w:val="17"/>
          <w:color w:val="000000"/>
        </w:rPr>
        <w:t>six months ended June 30, 2025</w:t>
      </w:r>
      <w:r>
        <w:rPr>
          <w:rFonts w:ascii="Times New Roman" w:cs="Times New Roman" w:eastAsia="Times New Roman" w:hAnsi="Times New Roman"/>
          <w:sz w:val="17"/>
          <w:szCs w:val="17"/>
          <w:color w:val="202124"/>
        </w:rPr>
        <w:t xml:space="preserve">, compared to </w:t>
      </w:r>
      <w:r>
        <w:rPr>
          <w:rFonts w:ascii="Times New Roman" w:cs="Times New Roman" w:eastAsia="Times New Roman" w:hAnsi="Times New Roman"/>
          <w:sz w:val="17"/>
          <w:szCs w:val="17"/>
          <w:color w:val="000000"/>
        </w:rPr>
        <w:t>$0.9</w:t>
      </w:r>
      <w:r>
        <w:rPr>
          <w:rFonts w:ascii="Times New Roman" w:cs="Times New Roman" w:eastAsia="Times New Roman" w:hAnsi="Times New Roman"/>
          <w:sz w:val="17"/>
          <w:szCs w:val="17"/>
          <w:color w:val="202124"/>
        </w:rPr>
        <w:t xml:space="preserve"> </w:t>
      </w:r>
      <w:r>
        <w:rPr>
          <w:rFonts w:ascii="Times New Roman" w:cs="Times New Roman" w:eastAsia="Times New Roman" w:hAnsi="Times New Roman"/>
          <w:sz w:val="17"/>
          <w:szCs w:val="17"/>
          <w:color w:val="000000"/>
        </w:rPr>
        <w:t xml:space="preserve">million </w:t>
      </w:r>
      <w:r>
        <w:rPr>
          <w:rFonts w:ascii="Times New Roman" w:cs="Times New Roman" w:eastAsia="Times New Roman" w:hAnsi="Times New Roman"/>
          <w:sz w:val="17"/>
          <w:szCs w:val="17"/>
          <w:color w:val="202124"/>
        </w:rPr>
        <w:t>for the</w:t>
      </w:r>
      <w:r>
        <w:rPr>
          <w:rFonts w:ascii="Times New Roman" w:cs="Times New Roman" w:eastAsia="Times New Roman" w:hAnsi="Times New Roman"/>
          <w:sz w:val="17"/>
          <w:szCs w:val="17"/>
          <w:color w:val="000000"/>
        </w:rPr>
        <w:t xml:space="preserve"> six months ended June 30, 2024</w:t>
      </w:r>
      <w:r>
        <w:rPr>
          <w:rFonts w:ascii="Times New Roman" w:cs="Times New Roman" w:eastAsia="Times New Roman" w:hAnsi="Times New Roman"/>
          <w:sz w:val="17"/>
          <w:szCs w:val="17"/>
          <w:color w:val="202124"/>
        </w:rPr>
        <w:t>.</w:t>
      </w:r>
      <w:r>
        <w:rPr>
          <w:rFonts w:ascii="Times New Roman" w:cs="Times New Roman" w:eastAsia="Times New Roman" w:hAnsi="Times New Roman"/>
          <w:sz w:val="17"/>
          <w:szCs w:val="17"/>
          <w:color w:val="000000"/>
        </w:rPr>
        <w:t xml:space="preserve"> The increase was primarily due to royalties earned on certain consumables licensed to third parties.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202124"/>
        </w:rPr>
        <w:t xml:space="preserve">Total cost of goods sold and services </w:t>
      </w:r>
      <w:r>
        <w:rPr>
          <w:rFonts w:ascii="Times New Roman" w:cs="Times New Roman" w:eastAsia="Times New Roman" w:hAnsi="Times New Roman"/>
          <w:sz w:val="18"/>
          <w:szCs w:val="18"/>
          <w:color w:val="000000"/>
        </w:rPr>
        <w:t>increased $1.4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6%</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$27.1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six months ended June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$25.7</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six months ended June 30, 2024</w:t>
      </w:r>
      <w:r>
        <w:rPr>
          <w:rFonts w:ascii="Times New Roman" w:cs="Times New Roman" w:eastAsia="Times New Roman" w:hAnsi="Times New Roman"/>
          <w:sz w:val="18"/>
          <w:szCs w:val="18"/>
          <w:color w:val="202124"/>
        </w:rPr>
        <w:t>.</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202124"/>
        </w:rPr>
        <w:t xml:space="preserve">Cost of product revenue </w:t>
      </w:r>
      <w:r>
        <w:rPr>
          <w:rFonts w:ascii="Times New Roman" w:cs="Times New Roman" w:eastAsia="Times New Roman" w:hAnsi="Times New Roman"/>
          <w:sz w:val="18"/>
          <w:szCs w:val="18"/>
          <w:color w:val="000000"/>
        </w:rPr>
        <w:t>increased $4.2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28%</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$19.1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six months ended June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$14.9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six months ended June 30, 2024</w:t>
      </w:r>
      <w:r>
        <w:rPr>
          <w:rFonts w:ascii="Times New Roman" w:cs="Times New Roman" w:eastAsia="Times New Roman" w:hAnsi="Times New Roman"/>
          <w:sz w:val="18"/>
          <w:szCs w:val="18"/>
          <w:color w:val="202124"/>
        </w:rPr>
        <w:t xml:space="preserve">.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02124"/>
        </w:rPr>
        <w:t xml:space="preserve"> was primarily due </w:t>
      </w:r>
      <w:r>
        <w:rPr>
          <w:rFonts w:ascii="Times New Roman" w:cs="Times New Roman" w:eastAsia="Times New Roman" w:hAnsi="Times New Roman"/>
          <w:sz w:val="18"/>
          <w:szCs w:val="18"/>
          <w:color w:val="000000"/>
        </w:rPr>
        <w:t>to (1) an increase in the inventory reserve for expiring materials, (2) decreased</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capitalization of labor and overhead costs as a result of lower production volume and output, and (3) an increase from the amortization of the intangible asset acquired as part of the Emission acquisition in January 2025. These increases were partially offset by lower royalty expenses due to lower sales.</w:t>
      </w:r>
    </w:p>
    <w:p>
      <w:pPr>
        <w:spacing w:after="0" w:line="18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202124"/>
        </w:rPr>
        <w:t xml:space="preserve">Cost of service and other revenue </w:t>
      </w:r>
      <w:r>
        <w:rPr>
          <w:rFonts w:ascii="Times New Roman" w:cs="Times New Roman" w:eastAsia="Times New Roman" w:hAnsi="Times New Roman"/>
          <w:sz w:val="18"/>
          <w:szCs w:val="18"/>
          <w:color w:val="000000"/>
        </w:rPr>
        <w:t>decreased $2.7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$8.0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six months ended June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$10.8</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six months ended June 30, 2024</w:t>
      </w:r>
      <w:r>
        <w:rPr>
          <w:rFonts w:ascii="Times New Roman" w:cs="Times New Roman" w:eastAsia="Times New Roman" w:hAnsi="Times New Roman"/>
          <w:sz w:val="18"/>
          <w:szCs w:val="18"/>
          <w:color w:val="202124"/>
        </w:rPr>
        <w:t>. This</w:t>
      </w:r>
      <w:r>
        <w:rPr>
          <w:rFonts w:ascii="Times New Roman" w:cs="Times New Roman" w:eastAsia="Times New Roman" w:hAnsi="Times New Roman"/>
          <w:sz w:val="18"/>
          <w:szCs w:val="18"/>
          <w:color w:val="000000"/>
        </w:rPr>
        <w:t xml:space="preserve"> decrease </w:t>
      </w:r>
      <w:r>
        <w:rPr>
          <w:rFonts w:ascii="Times New Roman" w:cs="Times New Roman" w:eastAsia="Times New Roman" w:hAnsi="Times New Roman"/>
          <w:sz w:val="18"/>
          <w:szCs w:val="18"/>
          <w:color w:val="202124"/>
        </w:rPr>
        <w:t>was due to lower volumes of</w:t>
      </w:r>
      <w:r>
        <w:rPr>
          <w:rFonts w:ascii="Times New Roman" w:cs="Times New Roman" w:eastAsia="Times New Roman" w:hAnsi="Times New Roman"/>
          <w:sz w:val="18"/>
          <w:szCs w:val="18"/>
          <w:color w:val="000000"/>
        </w:rPr>
        <w:t xml:space="preserve"> sample testing and assay development services in our Accelerator Laboratory and a decrease in headcount and related compensation and benefits costs from the May 2025 restructuring.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$4.2 million, or 28%, to $19.1 million for the six months ended June 30, 2025, compared to $14.9 million for the six months ended June 30, 2024.</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$4.2 million increase was partially due to a non-recurring $4.0 million charge associated with the contingent compensation payable under the acquisition of Emission. Excluding the effect of this charge, the remaining $0.2 million increase was primarily related to a $1.1 million increase in compensation, benefit, and stock-based compensation expenses which was partially offset by a $1.0 million decrease in costs of outside services, research lab supplies, and equipment to enable product development. We believe that our continued investment in research and development is essential to our long-term competitive position. We expect that the realization of anticipated synergies from the acquisition of Akoya should enable us to maintain research and development expense at a more consistent level in future periods.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$13.7 million, or 27%, to $63.8 million for the six months ended June 30, 2025, compared to $50.1 million for the six months ended June 30, 2024. Included within selling, general, and administrative expense are shipping and handling costs for product sales of $2.9 million and $4.2 million for the six months ended June 30, 2025 and 2024, respectively.</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$13.7 million increase in selling, general and administrative was partially due to $10.6 million of non-recurring costs, which included a $6.7 million increase in acquisition costs related to the acquisition of Akoya and a $3.9 million charge associated with the contingent compensation payable under the acquisition of Emission. Excluding the effect of these costs, the remaining $3.1 million increase was due to (1) a $2.4 million increase in professional services and consulting fees, primarily related to our efforts to remediate the material weaknesses in our internal control over financial reporting described in our Form 10-K, (2) a $0.9 million increase related to a leased facility we began using in the fourth quarter of 2024, (3) a $0.7 million increase in compensation, benefit, and stock-based compensation expenses, (4) a $0.7 million one-time reimbursement in 2024 for a process improvement project, and (5) a $0.4 million increase in marketing expense for promotion and branding. These increases were partially offset by a $1.3 million decrease in shipping and handling costs primarily due to lower sales.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Other lease costs decreased $1.3 million, or 68%, to $0.6 million for the six months ended June 30, 2025, compared to $1.9 million for the six months ended June 30, 2024. In the fourth quarter of 2024, we began using one of the leased facilities that we did not occupy as a result of the restructuring and strategic realignment plan in August 2022. Accordingly, as of the fourth quarter of 2024, the amortization of the operating lease right-of-use asset and related leased facility operating expenses at this facility are no longer recorded in other lease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Costs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recorded impairment and restructuring costs of $7.7 million for the six months ended June 30, 2025 relating to a goodwill impairment charge and severance and related benefit expenses from the May 2025 restructuring. No such costs were recorded in the six months ended June 30,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income decreased $1.7 million, or 22%, to $6.0 million for the six months ended June 30, 2025, as compared to $7.6 million for the six months ended June 30, 2024. The decrease in fair value was primarily due to lower interest rates and a lower balance of cash, cash equivalents, and marketable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contingent consideration increased $3.9 million, or 100%, to $3.9 million for the six months ended June 30, 2025. The contingent consideration arrangement relates to the Emission acquisition that closed in the first quarter of 2025. The increase was due to updates to the valuation inputs and the passage of time between the acquisition date and end of the quarter.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increased $3.3 million, or 1105%, to $3.0 million for the six months ended June 30, 2025, as compared to $0.3 million for the six months ended June 30, 2024. The change was primarily due to the release of a portion of our valuation allowance on deferred tax assets due to temporary tax differences related to the acquisition of Emission.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marketable securities, and funds generated from sales of our products and services. As of June 30, 2025, we had $132.9 million of cash and cash equivalents and $128.3 million of marketable securities. Historically we have also financed our operations through equity offerings and borrowings from credit facilities. Our liquidity requirements have consisted, and we expect that they will continue to consist, of sales and marketing expenses, research and development expenses, working capital, general corporate expenses, and payments related to our acquisition activity.</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our January 2025 acquisition of Emission, we funded the $8.9 million cash payment at closing entirely with cash on hand, and we are obligated to make certain future contingent cash payments related to the Emission acquisition. We also funded the payments for our July 8, 2025 acquisition of Akoya entirely with cash on hand, including $19.6 million of cash consideration for the acquisition and $82.1 million for the repayment of Akoya's outstanding Midcap Trust Term Loan, including early termination and related fees (collectively, the "Akoya Payments"). After making the Akoya Payments, we had approximately $163.0 million in cash, cash equivalents, and marketable securities.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along with funds generated from sales of our products and services, after taking into account the Akoya Payments, will be sufficient to meet our anticipated operating cash requirements for at least 12 months from the date of this Quarterly Report on Form 10-Q.</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acquisition of Akoya, along with actions already taken to reduce operating costs, preserve cash, and realize anticipated synergies and other benefits of acquisition, we expect the combined company will be cash flow breakeven in 2026.</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our pace of growth, expansion or introduction of instruments, assays, and services, including Lucent Diagnostics, advancing access to our diagnostic tests, market acceptance of our products and services, regulatory requirements, regulatory approval of our products or services, and the effects of competition, technological developments, and broader market and economic trends.</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regularly assess other potential acquisitions and may need capital to pursue acquisitions of complementary businesses, services, and technologies. 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(102,220)</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(127,064)</w:t>
            </w:r>
          </w:p>
        </w:tc>
      </w:tr>
      <w:tr>
        <w:trPr>
          <w:trHeight w:val="21"/>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at least through 2025.</w:t>
      </w:r>
    </w:p>
    <w:p>
      <w:pPr>
        <w:spacing w:after="0" w:line="183"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Net cash used in operating activities was $19.5 million and $25.1 million for the six months ended June 30, 2025 and 2024, respectively. The $5.6 million decrease in net cash used in operations was driven by a change in working capital items, primarily a decrease in accounts receivable from efforts to improve collections and a decrease in raw materials purchases. This decrease was partially offset by an overall increase in our net loss, adjusted for non-cash items. The primary changes in our non-cash items were a $6.4 million year over year increase from a goodwill impairment charge, which was partially offset by a $3.9 million year over year decrease in the change in fair value of the Emission contingent consideration. Cash used in operations during the first half of 2025 also included payments for professional fees supporting due diligence, legal, and accounting activities related to the acquisition of Akoya.</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marketable securities. Additionally, we use funds to acquire companies and to make capital expenditures for the purchase of property and equipment to support our infrastructure.</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$94.6 million during the six months ended June 30, 2025, which consisted of proceeds from sales and maturities of marketable securities of $135.9 million and cash used of $9.0 million for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Emission, $30.2 million for the purchase of marketable securities, and $2.0 million for purchases of property and equipment.</w:t>
      </w:r>
    </w:p>
    <w:p>
      <w:pPr>
        <w:spacing w:after="0" w:line="225"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$102.2 million during the six months ended June 30, 2024, which consisted of the purchase of $189.3 million of marketable securities and $2.1 million for purchases of property and equipment, was partially offset by proceeds from sales and maturities of marketable securities of $89.2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$0.3 million during the six months ended June 30, 2025, compared to net cash provided by financing activities of $0.3 million during the six months ended June 30, 2024. These cash flows are related to the issuance of our common stock under our equity incentive plans and payments for employee taxes withheld.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Cash Obligations</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there have been no material changes to our contractual obligations and commitments from those described in the section titled “Part II, Item 7. Management’s Discussion and Analysis of Financial Condition and Results of Operations” included in our Form 10-K, other than those described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Emission Acquisition</w:t>
      </w:r>
    </w:p>
    <w:p>
      <w:pPr>
        <w:spacing w:after="0" w:line="21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 acquisition of Emission included two arrangements that could result in additional cash payments to the selling shareholders. An additional $10.0 million is payable upon completion of certain technical milestones (“Earnout 1”) and up to $50.0 million could be payable based on the amount and timing of certain performance targets over a five year period ending December 31, 2029 (“Earnout 2”). Earnout 1 is recognized as compensation expense over the estimated period the technical requirements and milestones are completed. Earnout 2 is recorded at fair value each reporting period and at June 30, 2025 was fair valued at $2.7 million.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of Akoya</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on July 8, 2025 we acquired Akoya for consideration of approximately 7.8 million shares of Quanterix common stock and $19.6 million of cash. We additionally paid $82.1 million in cash to settle the Midcap Trust Term Loan.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STRATEC</w:t>
      </w:r>
    </w:p>
    <w:p>
      <w:pPr>
        <w:spacing w:after="0" w:line="227"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During the second quarter of 2025, we and STRATEC Consumables GmbH (“STRATEC”) entered into the third amendment to the supply agreement with STRATEC (the “Amended STRATEC Supply Agreement”), effective as of January 1, 2025, related to the manufacturing of certain Simoa instruments. As part of the Amended STRATEC Supply Agreement, we agreed to purchase a minimum number of instruments in 2025 and 2026 at agreed upon pricing. We may also be required to pay an additional annual maintenance fee based on the number of instruments purchased during 2025 and 2026, respectively. The agreement may be terminated upon 12 months's notice after the later of meeting the minimum purchases or December 31, 2026.</w:t>
      </w:r>
    </w:p>
    <w:p>
      <w:pPr>
        <w:spacing w:after="0" w:line="16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total purchase commitment for instruments under the Amended STRATEC Supply Agreement is approximately $10.8 million. There were no purchases made under the Amended STRATEC Supply Agreement during the three and six months ended June 30, 2025.</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cash commitments disclosed in our Form 10-K, we may have other payables and liabilities that may be legally enforceable but are not considered contractual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and Estimates” included in our Form 10-K.</w:t>
      </w:r>
    </w:p>
    <w:p>
      <w:pPr>
        <w:sectPr>
          <w:pgSz w:w="11900" w:h="16838" w:orient="portrait"/>
          <w:cols w:equalWidth="0" w:num="1">
            <w:col w:w="11200"/>
          </w:cols>
          <w:pgMar w:left="320" w:top="513"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previously disclosed in that report, except that the policy under the heading “Impairment of Other Long-Lived Assets” is deleted and replaced in its entirety by the following sections: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Acquired Goodwill, Intangible Assets, and Contingent Consideration</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When acquiring a business, we determine the estimated fair values of the assets acquired and liabilities assumed as of the acquisition date, which may include a significant amount of intangible assets such as customer relationships, technology, trademarks and trade names, and non-compete agreements, as well as goodwill and contingent consideration.</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determination of the fair values these assets and liabilities involves significant judgment in selecting inputs used in a valuation methodology, including expected future revenues or cash flows, future changes in technology, estimated replacement costs, covenants not to compete, obsolescence of developed technologies, the likelihood and timing of achieving milestones or performance targets, discount rates, and assumptions about the period of time a brand will continue to be used in our product portfolio. We typically engage third-party valuation experts to assist us with the fair value analyses. Our estimates of fair value are based upon assumptions and inputs we believe to be reasonable, but which are inherently uncertain and unpredictable and, as a result, actual results may differ from estimates. A change in the inputs used could have a material impact on the estimated fair values.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with finite lives consist of customer relationships, developed technology, know-how, trademarks and trade names, and non-compete agreements and are recorded at their fair values as described above. These assigned values are amortized over each asset's useful life on a basis which best matches the periods in which the economic benefits are expected to be realized. Determining an intangible asset's useful life requires significant judgment and is based on evaluating a number of factors, including, but not limited to, the expected use of the asset, historical client retention rates, consumer awareness, trademark and trade name history, and any contractual provisions that could limit or extend an asset's useful life. Actual useful lives may differ from estimated useful lives.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Business combinations may also include contingent consideration to be paid based on the occurrence of future events, such as the completion of a technical milestone or upon meeting certain performance targets. Contingent consideration treated as purchase price is a liability recorded at fair value, as described above, at the acquisition date. We remeasure the fair value of outstanding contingent consideration liabilities at each reporting period and changes are recognized in change in fair value of contingent consideration on the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Intangible Assets, and Other Long-Lived Assets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Goodwill is required to be assessed for impairment at least annually or whenever events or circumstances indicate that there may be an impairment. An impairment assessment requires evaluating a potential impairment at the reporting unit level using either a qualitative assessment, to determine if it is more likely than not that the fair value of any reporting unit is less than its carrying amount, or a quantitative analysis, to determine and compare the fair value of each reporting unit to its carrying value, or a combination of both. Reporting units are determined based on the components of our operating segments that constitute a business for which financial information is available and for which operating results are regularly reviewed by segment management. Judgment is required in determining the use of a qualitative or quantitative assessment, as well as in determining a reporting unit’s estimated fair value, as it requires us to make estimates of market conditions and operational performance, including items such as projected financial results, discount rates, control premium, or valuation multiples for key financial metrics.</w:t>
      </w:r>
    </w:p>
    <w:p>
      <w:pPr>
        <w:spacing w:after="0" w:line="19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Absent an event that indicates a specific impairment may exist, we have selected October 1st as the date to perform our annual goodwill impairment test. Future events could cause us to conclude that impairment indicators exist and that goodwill associated with our acquired businesses is impaired. Any resulting impairment loss could have a material adverse impact on our results of operations.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continually evaluate whether events or circumstances have occurred that indicate the carrying value of these assets may not be recoverable, or the estimated remaining useful life of any of our intangible assets or property and equipment, or the estimated remaining lease term of any of our operating lease right-of-use assets may warrant revision. Additionally, we continually assess the determination of our asset groups, which primarily focuses on changes in our operating structure, the way in which we expect to deploy our assets, or how we intend to recover the cost of our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assess the recoverability of a long-lived asset or asset group, we compare the estimated undiscounted future cash flows for the estimated remaining useful life, or estimated lease term, of the asset (or the primary asset in the asset group) to its carrying value. If the undiscounted cash flows are less than the carrying value, we estimate the asset's fair value using the future discounted cash flows associated with the use of the asset. To the extent that the discounted cash flows are less than the carrying value, the asset(s) are impaired and written down to their estimated fair value.</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Significant assumptions that form the basis of the forecasted results utilized to calculate undiscounted cash flows include but are not limited to, estimates about future revenues, expenses, asset disposal value, expected uses of the asset, historical customer retention rates, technology roadmaps, customer awareness, trademark and trade name history, contractual provisions that could limit or extend an asset's useful life, market data, discount rates, and potential sublease opportunities including rent and rent escalation rates, time to sublease, and free rent periods. To the extent that the future cash flows are less than the carrying value, a long-lived asset or asset group is impaired and written down to its estimated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To supplement our financial statements presented on a U.S. GAAP basis, we present the following non-GAAP financial measures: adjusted gross profit, adjusted gross margin, adjusted total operating expenses, and adjusted loss from operations. These non-GAAP measures are calculated by (1) including shipping and handling costs for product sales within cost of product revenue instead of within selling, general and administrative expenses and</w:t>
      </w:r>
    </w:p>
    <w:p>
      <w:pPr>
        <w:spacing w:after="0" w:line="1" w:lineRule="exact"/>
        <w:rPr>
          <w:sz w:val="20"/>
          <w:szCs w:val="20"/>
          <w:color w:val="auto"/>
        </w:rPr>
      </w:pPr>
    </w:p>
    <w:p>
      <w:pPr>
        <w:ind w:right="40" w:firstLine="8"/>
        <w:spacing w:after="0" w:line="255"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amortization of certain acquired intangible assets, acquisition and integration related costs, and certain other items which include other charges or benefits resulting from transactions or events that are highly variable, significant in size, and that we do not believe are indicative of ongoing or future business operations. Adjusted gross margin is calculated as adjusted gross profit divided by total revenues.</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presentation of these non-GAAP financial measures provides supplemental information useful to investors in understanding our underlying operating results and trends. We use these non-GAAP financial measures to evaluate our operating performance in a manner that allows for meaningful period-to-period comparison and analysis of trends in our business and our competitors. We believe that presentation of these non-GAAP financial measures provides useful information to investors in assessing our operating performance within our industry and to allow comparability with the presentation of other companies in our industry.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non-GAAP financial measures presented here should be considered in conjunction with, and not as a substitute for, the financial information presented in accordance with U.S. GAAP.</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adjusted gross profit, adjusted gross margin, adjusted total operating expenses, and adjusted loss from operations to their most directly comparable GAAP financial measures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w:t>
            </w:r>
          </w:p>
        </w:tc>
        <w:tc>
          <w:tcPr>
            <w:tcW w:w="0" w:type="dxa"/>
            <w:vAlign w:val="bottom"/>
          </w:tcPr>
          <w:p>
            <w:pPr>
              <w:spacing w:after="0"/>
              <w:rPr>
                <w:sz w:val="1"/>
                <w:szCs w:val="1"/>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 (1)</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(non-GAAP)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66,447</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(gross profit as % of total revenues)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175"/>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gross margin (non-GAAP) (adjusted gross profit as % of</w:t>
            </w: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66,881</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related costs (2)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Earnout recorded as compensation expense (3)</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and restructuring costs (4)</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 operating expenses (non-GAAP)</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0" w:type="dxa"/>
            <w:vAlign w:val="bottom"/>
          </w:tcPr>
          <w:p>
            <w:pPr>
              <w:spacing w:after="0"/>
              <w:rPr>
                <w:sz w:val="1"/>
                <w:szCs w:val="1"/>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 (1)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related costs (2)</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Earnout recorded as compensation expense (3)</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and restructuring costs (4)</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(20,901)</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only of the amortization of intangible assets acquired in 2025.</w:t>
      </w:r>
    </w:p>
    <w:p>
      <w:pPr>
        <w:spacing w:after="0" w:line="27"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earnout recognized as compensation expense related to the Emission acquisition.</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and severance and related benefit costs from restructuring plans announced in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the Notes to Consolidated Financial Statements included in this Quarterly Report on Form 10-Q for a full description of recent accounting pronouncements, including the expected dates of adoption and effects on our Consolidated Financial Statements and related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there have been no material changes to the market risk information from those described in the section titled “Part II, Item 7A. Quantitative and Qualitative Disclosures About Market Risk” included in our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the section titled “Part II, Item 9A. Controls and Procedures” in our Form 10-K, management concluded that our internal control over financial reporting was not effective at a reasonable assurance level as of December 31, 2024 due to the material weaknesses in the effectiveness of our internal controls associated with the valuation of inventory, including excess and obsolescence reserves and the capitalization of labor and overhead costs (the “Inventory Valuation MW”), and the accounting for Accelerator Revenue, a component of our service and other revenue (the “Accelerator Revenue MW”).</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Based on our updated evaluation of the effectiveness of internal control over financial reporting under the Internal Control-Integrated Framework issued by the Committee of Sponsoring Organizations of the Treadway Commission, and in light of the material weaknesses discussed above, our management continued to conclude that our internal control over financing reporting was not effective at the reasonable assurance level as of June 30,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June 30, 2025. Because our efforts to remediate the material weaknesses in our internal control over financial reporting are still underway and we have not had a sufficient period of time to test the operating effectiveness of our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June 30, 2025.</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Nevertheless, based on a number of factors, including the performance of additional procedures by management designed to ensure the reliability of our financial reporting, we believe that the Consolidated Financial Statements and Notes to Consolidated Financial Statements in this Quarterly Report on Form 10-Q fairly present, in all material respects, our financial position, results of operations, and cash flows as of the dates, and for the periods, presented, in conformity with U.S. GAAP.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oversight from the Audit Committee of our Board of Directors, continues taking steps to remediate the control deficiencies that resulted in the Inventory Valuation MW and the Accelerator Revenue MW described above by implementing changes to our internal control over financial reporting. Our remediation activities undertaken to date and additional planned actions include, but are not limited to, the efforts summarized below:</w:t>
      </w:r>
    </w:p>
    <w:p>
      <w:pPr>
        <w:spacing w:after="0" w:line="180" w:lineRule="exact"/>
        <w:rPr>
          <w:sz w:val="20"/>
          <w:szCs w:val="20"/>
          <w:color w:val="auto"/>
        </w:rPr>
      </w:pPr>
    </w:p>
    <w:p>
      <w:pPr>
        <w:ind w:left="660" w:right="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 Vice President, SOX Transformation and completed the hiring of personnel for our internal SOX Transformation team. This team is actively: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remediation of our material weaknesses and driving further improvements across our internal controls;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evaluate and design effective and scalable internal controls, and strengthening the documentation of our existing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new internal controls evaluating the accounting for inventory and enhancing inventory valuation review procedures;</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and expanding our existing revenue recognition control procedures and attributes to sufficiently document our assessment of, and reviews over, information used to record Accelerator Laboratory revenue;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trainings on a regular basis related to internal control over financial reporting for all control owners;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opportunities to enhance our use of our systems through automating certain controls and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new software solutions to automate key manual inventory valuation processes and outputs;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the design of new controls and will continue to implement additional compensating controls throughout the remainder of fiscal year 2025;</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brought additional internal systems into the scope of our internal control environment to reduce reliance on manual processes and controls;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execute controls that we worked to improve during fiscal year 2024 that did not have a sufficient period of time to demonstrate operating effectiveness as of December 31, 2024, including the analysis of labor and overhead cost capitalization and related controls implemented in the fourth quarter of 2024;</w:t>
      </w:r>
    </w:p>
    <w:p>
      <w:pPr>
        <w:spacing w:after="0" w:line="17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evaluate, enhance, and add personnel in the finance organization with a focus on the requisite experience in the areas of accounting, SEC financial reporting, and internal control compliance; and</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supplement our team with accounting consultants to provide additional depth and breadth in our period end closes, financial reporting capabilities, and internal controls compliance until we have filled key additions or vacancies on our team with qualified personnel for a sufficient period of overlap to ensure successful transition of responsibilities.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our efforts to remediate the Inventory Valuation MW and Accelerator Revenue MW through fiscal year 2025. We believe</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that the implementation of the above steps will allow us to address the deficient controls within our internal control environment, which will facilitate the remediation of the Inventory Valuation MW and Accelerator Revenue MW. As we continue to evaluate and work to improve our internal control over financial reporting, we will take additional measures to address control deficiencies and we may modify certain of the remediation measures described above. Following our design and implementation of our remediation efforts, we will need to demonstrate their operating effectiveness. We will not be able to consider the Inventory Valuation MW or the Accelerator Revenue MW remediated until the applicable remedial controls operate for a sufficient period of time and our management has concluded, through testing, that our controls are operating effectively.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Other than the changes outlined above to remediate the material weaknesses, there have been no changes in our internal control over financial reporting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June 30, 2025, we were not party to any legal proceedings, the outcome of which would be expected to have a material adverse effect on our financial condition or results of operations. Regardless of any outcome, litigation can have a material adverse effect on us due to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described in the section titled “Part I, Item 1A. Risk Factors” in our Annual Report on Form 10-K for the year ended December 31, 2024, as filed with the SEC on March 17, 2025 (the “Annual Report on Form 10-K”), as updated by the risk factors in the section titled “Part II, Item 1A. Risk Factors” in our Quarterly Report on Form 10-Q for the quarter ended March 31, 2025, as filed with the SEC on May 12, 2025 (the “Q1 Form 10-Q”). Those risk factors are not the only risks we face. Additional risks and uncertainties not currently known to us or that we deem to be not material also may adversely affect our business, financial condition, and results of operations.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Quarterly Report on Form 10-Q, there were no material changes to the risk factors described in our Annual Report on Form 10-K and Q1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USE OF PROCEEDS, AND ISSUER PURCHASES OF EQUITY SECURITIES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2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6"/>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Agreement and Plan of Merger,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29"/>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dated April 28, 2025, by and among the Registrant, Wellfleet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Merger Sub, Inc., and Akoya Biosciences, Inc.</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Amended and Restated Certificate of Incorporation.</w:t>
              </w:r>
            </w:hyperlink>
          </w:p>
        </w:tc>
        <w:tc>
          <w:tcPr>
            <w:tcW w:w="7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Restated Bylaws.</w:t>
              </w:r>
            </w:hyperlink>
          </w:p>
        </w:tc>
        <w:tc>
          <w:tcPr>
            <w:tcW w:w="322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Consent and Waiver under, the Voting and Support</w:t>
              </w:r>
            </w:hyperlink>
          </w:p>
        </w:tc>
        <w:tc>
          <w:tcPr>
            <w:tcW w:w="82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Agreement, dated April 28, 2025, by and among the</w:t>
              </w:r>
            </w:hyperlink>
          </w:p>
        </w:tc>
        <w:tc>
          <w:tcPr>
            <w:tcW w:w="7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29"/>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Registrant and certain stockholders of Akoya Biosciences,</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 named therein.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Voting and Support Agreement, dated April 28, 2025, by and</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among the Registrant and certain stockholders of Akoya</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Biosciences, Inc. named therein.</w:t>
              </w:r>
            </w:hyperlink>
          </w:p>
        </w:tc>
        <w:tc>
          <w:tcPr>
            <w:tcW w:w="172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Securities Purchase Agreement between the Registrant and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Akoya Biosciences, Inc. dated April 2, 2025.</w:t>
              </w:r>
            </w:hyperlink>
          </w:p>
        </w:tc>
        <w:tc>
          <w:tcPr>
            <w:tcW w:w="10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Form of Convertible Note</w:t>
              </w:r>
            </w:hyperlink>
          </w:p>
        </w:tc>
        <w:tc>
          <w:tcPr>
            <w:tcW w:w="26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Registration Rights Agreement</w:t>
              </w:r>
            </w:hyperlink>
          </w:p>
        </w:tc>
        <w:tc>
          <w:tcPr>
            <w:tcW w:w="0" w:type="dxa"/>
            <w:vAlign w:val="bottom"/>
          </w:tcPr>
          <w:p>
            <w:pPr>
              <w:spacing w:after="0"/>
              <w:rPr>
                <w:sz w:val="1"/>
                <w:szCs w:val="1"/>
                <w:color w:val="auto"/>
              </w:rPr>
            </w:pPr>
          </w:p>
        </w:tc>
      </w:tr>
      <w:tr>
        <w:trPr>
          <w:trHeight w:val="26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Form of Subordination Agreement</w:t>
              </w:r>
            </w:hyperlink>
          </w:p>
        </w:tc>
        <w:tc>
          <w:tcPr>
            <w:tcW w:w="360" w:type="dxa"/>
            <w:vAlign w:val="bottom"/>
            <w:tcBorders>
              <w:top w:val="single" w:sz="8" w:color="0000FF"/>
            </w:tcBorders>
            <w:gridSpan w:val="2"/>
          </w:tcPr>
          <w:p>
            <w:pPr>
              <w:spacing w:after="0"/>
              <w:rPr>
                <w:sz w:val="22"/>
                <w:szCs w:val="22"/>
                <w:color w:val="auto"/>
              </w:rPr>
            </w:pPr>
          </w:p>
        </w:tc>
        <w:tc>
          <w:tcPr>
            <w:tcW w:w="162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Amendment No. 1, dated April 28, 2025, to the Securities</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Purchase Agreement between the Registrant and Akoya</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Biosciences, Inc. dated April 2, 2025.</w:t>
              </w:r>
            </w:hyperlink>
          </w:p>
        </w:tc>
        <w:tc>
          <w:tcPr>
            <w:tcW w:w="130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Third Amendment to Supply and Manufacturing Agreement,</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entered into on June 17, 2025 and effective as of January 1,</w:t>
            </w: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2025, between the Registrant and STRATEC SE</w:t>
            </w: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380" w:type="dxa"/>
            <w:vAlign w:val="bottom"/>
            <w:tcBorders>
              <w:right w:val="single" w:sz="8" w:color="0000FF"/>
            </w:tcBorders>
            <w:gridSpan w:val="7"/>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760" w:type="dxa"/>
            <w:vAlign w:val="bottom"/>
            <w:tcBorders>
              <w:top w:val="single" w:sz="8" w:color="0000FF"/>
            </w:tcBorders>
            <w:gridSpan w:val="11"/>
          </w:tcPr>
          <w:p>
            <w:pPr>
              <w:spacing w:after="0"/>
              <w:rPr>
                <w:sz w:val="13"/>
                <w:szCs w:val="13"/>
                <w:color w:val="auto"/>
              </w:rPr>
            </w:pPr>
          </w:p>
        </w:tc>
        <w:tc>
          <w:tcPr>
            <w:tcW w:w="2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700" w:type="dxa"/>
            <w:vAlign w:val="bottom"/>
            <w:tcBorders>
              <w:top w:val="single" w:sz="8" w:color="0000FF"/>
            </w:tcBorders>
            <w:gridSpan w:val="9"/>
          </w:tcPr>
          <w:p>
            <w:pPr>
              <w:spacing w:after="0"/>
              <w:rPr>
                <w:sz w:val="13"/>
                <w:szCs w:val="13"/>
                <w:color w:val="auto"/>
              </w:rPr>
            </w:pPr>
          </w:p>
        </w:tc>
        <w:tc>
          <w:tcPr>
            <w:tcW w:w="3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Certifications of the Principal Executive Officer and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660" w:type="dxa"/>
            <w:vAlign w:val="bottom"/>
            <w:gridSpan w:val="10"/>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Section 906 of the</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40" w:type="dxa"/>
            <w:vAlign w:val="bottom"/>
            <w:tcBorders>
              <w:top w:val="single" w:sz="8" w:color="0000FF"/>
            </w:tcBorders>
            <w:gridSpan w:val="14"/>
          </w:tcPr>
          <w:p>
            <w:pPr>
              <w:spacing w:after="0"/>
              <w:rPr>
                <w:sz w:val="13"/>
                <w:szCs w:val="13"/>
                <w:color w:val="auto"/>
              </w:rPr>
            </w:pPr>
          </w:p>
        </w:tc>
        <w:tc>
          <w:tcPr>
            <w:tcW w:w="3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0" w:type="dxa"/>
            <w:vAlign w:val="bottom"/>
          </w:tcPr>
          <w:p>
            <w:pPr>
              <w:spacing w:after="0"/>
              <w:rPr>
                <w:sz w:val="1"/>
                <w:szCs w:val="1"/>
                <w:color w:val="auto"/>
              </w:rPr>
            </w:pPr>
          </w:p>
        </w:tc>
      </w:tr>
      <w:tr>
        <w:trPr>
          <w:trHeight w:val="292"/>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19"/>
                <w:szCs w:val="19"/>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92"/>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4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0" w:type="dxa"/>
            <w:vAlign w:val="bottom"/>
          </w:tcPr>
          <w:p>
            <w:pPr>
              <w:spacing w:after="0"/>
              <w:rPr>
                <w:sz w:val="1"/>
                <w:szCs w:val="1"/>
                <w:color w:val="auto"/>
              </w:rPr>
            </w:pPr>
          </w:p>
        </w:tc>
      </w:tr>
      <w:tr>
        <w:trPr>
          <w:trHeight w:val="756"/>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0"/>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37"/>
        </w:trPr>
        <w:tc>
          <w:tcPr>
            <w:tcW w:w="1000" w:type="dxa"/>
            <w:vAlign w:val="bottom"/>
            <w:gridSpan w:val="2"/>
            <w:vMerge w:val="continue"/>
          </w:tcPr>
          <w:p>
            <w:pPr>
              <w:spacing w:after="0"/>
              <w:rPr>
                <w:sz w:val="11"/>
                <w:szCs w:val="11"/>
                <w:color w:val="auto"/>
              </w:rPr>
            </w:pPr>
          </w:p>
        </w:tc>
        <w:tc>
          <w:tcPr>
            <w:tcW w:w="16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from Form or Schedule</w:t>
            </w:r>
          </w:p>
        </w:tc>
        <w:tc>
          <w:tcPr>
            <w:tcW w:w="132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12/15/2017</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08/07/2025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82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47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20" w:space="40"/>
            <w:col w:w="548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8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8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800" w:type="dxa"/>
            <w:vAlign w:val="bottom"/>
          </w:tcPr>
          <w:p>
            <w:pPr>
              <w:spacing w:after="0"/>
              <w:rPr>
                <w:sz w:val="20"/>
                <w:szCs w:val="20"/>
                <w:color w:val="auto"/>
              </w:rPr>
            </w:pPr>
          </w:p>
        </w:tc>
      </w:tr>
      <w:tr>
        <w:trPr>
          <w:trHeight w:val="171"/>
        </w:trPr>
        <w:tc>
          <w:tcPr>
            <w:tcW w:w="10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bl>
    <w:p>
      <w:pPr>
        <w:spacing w:after="0" w:line="238" w:lineRule="exact"/>
        <w:rPr>
          <w:sz w:val="20"/>
          <w:szCs w:val="20"/>
          <w:color w:val="auto"/>
        </w:rPr>
      </w:pPr>
    </w:p>
    <w:p>
      <w:pPr>
        <w:ind w:left="820" w:right="40" w:hanging="794"/>
        <w:spacing w:after="0" w:line="239"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have been omitted pursuant to Item 601(b)(2) of Regulation S-K. The Registrant hereby undertakes to furnish supplemental copies of any of the omitted exhibits and schedules upon request by the SEC; provided, however, that the Registrant may request confidential treatment pursuant to Rule 24b-2 of the Securities Exchange Act of 1934, as amended, for any exhibits or schedules so furnished.</w:t>
      </w:r>
    </w:p>
    <w:p>
      <w:pPr>
        <w:spacing w:after="0" w:line="10" w:lineRule="exact"/>
        <w:rPr>
          <w:sz w:val="20"/>
          <w:szCs w:val="20"/>
          <w:color w:val="auto"/>
        </w:rPr>
      </w:pPr>
    </w:p>
    <w:p>
      <w:pPr>
        <w:ind w:left="820" w:hanging="794"/>
        <w:spacing w:after="0" w:line="237"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2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53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Masoud Toloue, Ph.D.</w:t>
            </w:r>
          </w:p>
        </w:tc>
      </w:tr>
      <w:tr>
        <w:trPr>
          <w:trHeight w:val="243"/>
        </w:trPr>
        <w:tc>
          <w:tcPr>
            <w:tcW w:w="34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Masoud Toloue, Ph.D.</w:t>
            </w:r>
          </w:p>
        </w:tc>
      </w:tr>
      <w:tr>
        <w:trPr>
          <w:trHeight w:val="257"/>
        </w:trPr>
        <w:tc>
          <w:tcPr>
            <w:tcW w:w="34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6"/>
        </w:trPr>
        <w:tc>
          <w:tcPr>
            <w:tcW w:w="34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Vandana Sriram</w:t>
            </w:r>
          </w:p>
        </w:tc>
      </w:tr>
      <w:tr>
        <w:trPr>
          <w:trHeight w:val="243"/>
        </w:trPr>
        <w:tc>
          <w:tcPr>
            <w:tcW w:w="34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Vandana Sriram</w:t>
            </w:r>
          </w:p>
        </w:tc>
      </w:tr>
      <w:tr>
        <w:trPr>
          <w:trHeight w:val="257"/>
        </w:trPr>
        <w:tc>
          <w:tcPr>
            <w:tcW w:w="34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04"/>
        </w:trPr>
        <w:tc>
          <w:tcPr>
            <w:tcW w:w="3480" w:type="dxa"/>
            <w:vAlign w:val="bottom"/>
          </w:tcPr>
          <w:p>
            <w:pPr>
              <w:spacing w:after="0"/>
              <w:rPr>
                <w:sz w:val="24"/>
                <w:szCs w:val="24"/>
                <w:color w:val="auto"/>
              </w:rPr>
            </w:pPr>
          </w:p>
        </w:tc>
        <w:tc>
          <w:tcPr>
            <w:tcW w:w="2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5320" w:type="dxa"/>
            <w:vAlign w:val="bottom"/>
          </w:tcPr>
          <w:p>
            <w:pPr>
              <w:spacing w:after="0"/>
              <w:rPr>
                <w:sz w:val="24"/>
                <w:szCs w:val="24"/>
                <w:color w:val="auto"/>
              </w:rPr>
            </w:pPr>
          </w:p>
        </w:tc>
      </w:tr>
    </w:tbl>
    <w:p>
      <w:pPr>
        <w:sectPr>
          <w:pgSz w:w="11900" w:h="16838" w:orient="portrait"/>
          <w:cols w:equalWidth="0" w:num="1">
            <w:col w:w="11220"/>
          </w:cols>
          <w:pgMar w:left="320" w:top="513" w:right="359" w:bottom="1440" w:gutter="0" w:footer="0" w:header="0"/>
        </w:sectPr>
      </w:pPr>
    </w:p>
    <w:bookmarkStart w:id="50" w:name="page51"/>
    <w:bookmarkEnd w:id="50"/>
    <w:p>
      <w:pPr>
        <w:ind w:left="10220"/>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6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SUPPLY and MANUFACTURING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This Amendment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5"/>
          <w:szCs w:val="25"/>
          <w:b w:val="1"/>
          <w:bCs w:val="1"/>
          <w:color w:val="auto"/>
          <w:vertAlign w:val="superscript"/>
        </w:rPr>
        <w:t>rd</w:t>
      </w:r>
      <w:r>
        <w:rPr>
          <w:rFonts w:ascii="Times New Roman" w:cs="Times New Roman" w:eastAsia="Times New Roman" w:hAnsi="Times New Roman"/>
          <w:sz w:val="20"/>
          <w:szCs w:val="20"/>
          <w:b w:val="1"/>
          <w:bCs w:val="1"/>
          <w:color w:val="auto"/>
        </w:rPr>
        <w:t xml:space="preserve"> Amendment</w:t>
      </w:r>
      <w:r>
        <w:rPr>
          <w:rFonts w:ascii="Times New Roman" w:cs="Times New Roman" w:eastAsia="Times New Roman" w:hAnsi="Times New Roman"/>
          <w:sz w:val="20"/>
          <w:szCs w:val="20"/>
          <w:color w:val="auto"/>
        </w:rPr>
        <w:t>”) is made and entered into effective as of January 1, 2025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w:t>
      </w:r>
      <w:r>
        <w:rPr>
          <w:rFonts w:ascii="Times New Roman" w:cs="Times New Roman" w:eastAsia="Times New Roman" w:hAnsi="Times New Roman"/>
          <w:sz w:val="20"/>
          <w:szCs w:val="20"/>
          <w:b w:val="1"/>
          <w:bCs w:val="1"/>
          <w:color w:val="auto"/>
        </w:rPr>
        <w:t xml:space="preserve"> Quanterix Corporation</w:t>
      </w:r>
      <w:r>
        <w:rPr>
          <w:rFonts w:ascii="Times New Roman" w:cs="Times New Roman" w:eastAsia="Times New Roman" w:hAnsi="Times New Roman"/>
          <w:sz w:val="20"/>
          <w:szCs w:val="20"/>
          <w:color w:val="auto"/>
        </w:rPr>
        <w:t>, a company organized and existing pursuant to the laws of Delaware, U.S.A. (“</w:t>
      </w:r>
      <w:r>
        <w:rPr>
          <w:rFonts w:ascii="Times New Roman" w:cs="Times New Roman" w:eastAsia="Times New Roman" w:hAnsi="Times New Roman"/>
          <w:sz w:val="20"/>
          <w:szCs w:val="20"/>
          <w:b w:val="1"/>
          <w:bCs w:val="1"/>
          <w:color w:val="auto"/>
        </w:rPr>
        <w:t>QTX</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STRATEC SE </w:t>
      </w:r>
      <w:r>
        <w:rPr>
          <w:rFonts w:ascii="Times New Roman" w:cs="Times New Roman" w:eastAsia="Times New Roman" w:hAnsi="Times New Roman"/>
          <w:sz w:val="20"/>
          <w:szCs w:val="20"/>
          <w:color w:val="auto"/>
        </w:rPr>
        <w:t>(formerly known as STRATEC Biomedical AG), a company organized and existing pursuant to the laws of Federal Republic of Germany (“</w:t>
      </w:r>
      <w:r>
        <w:rPr>
          <w:rFonts w:ascii="Times New Roman" w:cs="Times New Roman" w:eastAsia="Times New Roman" w:hAnsi="Times New Roman"/>
          <w:sz w:val="20"/>
          <w:szCs w:val="20"/>
          <w:b w:val="1"/>
          <w:bCs w:val="1"/>
          <w:color w:val="auto"/>
        </w:rPr>
        <w:t>STRATEC</w:t>
      </w:r>
      <w:r>
        <w:rPr>
          <w:rFonts w:ascii="Times New Roman" w:cs="Times New Roman" w:eastAsia="Times New Roman" w:hAnsi="Times New Roman"/>
          <w:sz w:val="20"/>
          <w:szCs w:val="20"/>
          <w:color w:val="auto"/>
        </w:rPr>
        <w:t>”). QTX and STRATEC each may be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660" w:hanging="328"/>
        <w:spacing w:after="0" w:line="274" w:lineRule="auto"/>
        <w:tabs>
          <w:tab w:leader="none" w:pos="65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have entered into that certain Development Agreement, dated as of August 15, 2011 (the </w:t>
      </w:r>
      <w:r>
        <w:rPr>
          <w:rFonts w:ascii="Times New Roman" w:cs="Times New Roman" w:eastAsia="Times New Roman" w:hAnsi="Times New Roman"/>
          <w:sz w:val="20"/>
          <w:szCs w:val="20"/>
          <w:b w:val="1"/>
          <w:bCs w:val="1"/>
          <w:color w:val="auto"/>
        </w:rPr>
        <w:t>“Development Agreement”</w:t>
      </w:r>
      <w:r>
        <w:rPr>
          <w:rFonts w:ascii="Times New Roman" w:cs="Times New Roman" w:eastAsia="Times New Roman" w:hAnsi="Times New Roman"/>
          <w:sz w:val="20"/>
          <w:szCs w:val="20"/>
          <w:color w:val="auto"/>
        </w:rPr>
        <w:t>), pursuant to which STRATEC has agreed to develop and manufacture for QTX an Instrument (as defined in the Development Agreement).</w:t>
      </w:r>
    </w:p>
    <w:p>
      <w:pPr>
        <w:spacing w:after="0" w:line="1" w:lineRule="exact"/>
        <w:rPr>
          <w:rFonts w:ascii="Times New Roman" w:cs="Times New Roman" w:eastAsia="Times New Roman" w:hAnsi="Times New Roman"/>
          <w:sz w:val="20"/>
          <w:szCs w:val="20"/>
          <w:color w:val="auto"/>
        </w:rPr>
      </w:pPr>
    </w:p>
    <w:p>
      <w:pPr>
        <w:jc w:val="both"/>
        <w:ind w:left="660" w:right="20" w:hanging="328"/>
        <w:spacing w:after="0" w:line="272" w:lineRule="auto"/>
        <w:tabs>
          <w:tab w:leader="none" w:pos="65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have entered into that certain Supply and Manufacturing Agreement, dated as of September 14, 2011 (as amended, the </w:t>
      </w:r>
      <w:r>
        <w:rPr>
          <w:rFonts w:ascii="Times New Roman" w:cs="Times New Roman" w:eastAsia="Times New Roman" w:hAnsi="Times New Roman"/>
          <w:sz w:val="20"/>
          <w:szCs w:val="20"/>
          <w:b w:val="1"/>
          <w:bCs w:val="1"/>
          <w:color w:val="auto"/>
        </w:rPr>
        <w:t>“Supply Agreement</w:t>
      </w:r>
      <w:r>
        <w:rPr>
          <w:rFonts w:ascii="Times New Roman" w:cs="Times New Roman" w:eastAsia="Times New Roman" w:hAnsi="Times New Roman"/>
          <w:sz w:val="20"/>
          <w:szCs w:val="20"/>
          <w:color w:val="auto"/>
        </w:rPr>
        <w:t>”), pursuant to which STRATEC has agreed to manufacture and supply QTX with quantities of the Instrument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defined in the Supply Agreement).</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21" w:lineRule="auto"/>
        <w:tabs>
          <w:tab w:leader="none" w:pos="65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entered into that certain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Amendment to the Supply and Manufacturing Agreement, dated as of October 17, 2013 (the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5"/>
          <w:szCs w:val="25"/>
          <w:b w:val="1"/>
          <w:bCs w:val="1"/>
          <w:color w:val="auto"/>
          <w:vertAlign w:val="superscript"/>
        </w:rPr>
        <w:t>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 Supply Agreement</w:t>
      </w:r>
      <w:r>
        <w:rPr>
          <w:rFonts w:ascii="Times New Roman" w:cs="Times New Roman" w:eastAsia="Times New Roman" w:hAnsi="Times New Roman"/>
          <w:sz w:val="20"/>
          <w:szCs w:val="20"/>
          <w:color w:val="auto"/>
        </w:rPr>
        <w:t>”), pursuant to which STRATEC has agreed to replacing Article 5.9 (as defined in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Amendment Supply Agreement).</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27" w:lineRule="auto"/>
        <w:tabs>
          <w:tab w:leader="none" w:pos="65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entered into that certain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Amendment to the Development Agreement and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Amendment to the Supply and Manufacturing Agreement, dated as of November 18, 2016 (the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5"/>
          <w:szCs w:val="25"/>
          <w:b w:val="1"/>
          <w:bCs w:val="1"/>
          <w:color w:val="auto"/>
          <w:vertAlign w:val="superscript"/>
        </w:rPr>
        <w:t>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and 2</w:t>
      </w:r>
      <w:r>
        <w:rPr>
          <w:rFonts w:ascii="Times New Roman" w:cs="Times New Roman" w:eastAsia="Times New Roman" w:hAnsi="Times New Roman"/>
          <w:sz w:val="25"/>
          <w:szCs w:val="25"/>
          <w:b w:val="1"/>
          <w:bCs w:val="1"/>
          <w:color w:val="auto"/>
          <w:vertAlign w:val="superscript"/>
        </w:rPr>
        <w:t>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pursuant to which the Parties have agreed to several changes (as defined in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Amendment).</w:t>
      </w:r>
    </w:p>
    <w:p>
      <w:pPr>
        <w:ind w:left="660" w:hanging="328"/>
        <w:spacing w:after="0" w:line="274" w:lineRule="auto"/>
        <w:tabs>
          <w:tab w:leader="none" w:pos="65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now desire to amend and add certain subjects of the Supply Agreement to reflect certain changes relating to the Parties’ rights and obligations under the Supply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02"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for and in consideration of the mutual promises and covenants set forth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hereby agree as follows:</w:t>
      </w:r>
    </w:p>
    <w:p>
      <w:pPr>
        <w:spacing w:after="0" w:line="11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Defined Terms. </w:t>
      </w:r>
      <w:r>
        <w:rPr>
          <w:rFonts w:ascii="Times New Roman" w:cs="Times New Roman" w:eastAsia="Times New Roman" w:hAnsi="Times New Roman"/>
          <w:sz w:val="20"/>
          <w:szCs w:val="20"/>
          <w:color w:val="auto"/>
        </w:rPr>
        <w:t>Capitalized terms used herein without definition will have the meanings given to such terms in the Supply Agreement.</w:t>
      </w:r>
    </w:p>
    <w:p>
      <w:pPr>
        <w:spacing w:after="0" w:line="269" w:lineRule="exact"/>
        <w:rPr>
          <w:rFonts w:ascii="Times New Roman" w:cs="Times New Roman" w:eastAsia="Times New Roman" w:hAnsi="Times New Roman"/>
          <w:sz w:val="20"/>
          <w:szCs w:val="20"/>
          <w:color w:val="auto"/>
        </w:rPr>
      </w:pPr>
    </w:p>
    <w:p>
      <w:pPr>
        <w:ind w:left="340" w:hanging="332"/>
        <w:spacing w:after="0" w:line="255"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Changes. </w:t>
      </w:r>
      <w:r>
        <w:rPr>
          <w:rFonts w:ascii="Times New Roman" w:cs="Times New Roman" w:eastAsia="Times New Roman" w:hAnsi="Times New Roman"/>
          <w:sz w:val="20"/>
          <w:szCs w:val="20"/>
          <w:color w:val="auto"/>
        </w:rPr>
        <w:t>Per request of both Parties, QTX and STRATEC hereby agree that this</w:t>
      </w:r>
      <w:r>
        <w:rPr>
          <w:rFonts w:ascii="Times New Roman" w:cs="Times New Roman" w:eastAsia="Times New Roman" w:hAnsi="Times New Roman"/>
          <w:sz w:val="20"/>
          <w:szCs w:val="20"/>
          <w:b w:val="1"/>
          <w:bCs w:val="1"/>
          <w:color w:val="auto"/>
        </w:rPr>
        <w:t xml:space="preserve"> 3</w:t>
      </w:r>
      <w:r>
        <w:rPr>
          <w:rFonts w:ascii="Times New Roman" w:cs="Times New Roman" w:eastAsia="Times New Roman" w:hAnsi="Times New Roman"/>
          <w:sz w:val="25"/>
          <w:szCs w:val="25"/>
          <w:b w:val="1"/>
          <w:bCs w:val="1"/>
          <w:color w:val="auto"/>
          <w:vertAlign w:val="superscript"/>
        </w:rPr>
        <w:t>rd</w:t>
      </w:r>
      <w:r>
        <w:rPr>
          <w:rFonts w:ascii="Times New Roman" w:cs="Times New Roman" w:eastAsia="Times New Roman" w:hAnsi="Times New Roman"/>
          <w:sz w:val="20"/>
          <w:szCs w:val="20"/>
          <w:b w:val="1"/>
          <w:bCs w:val="1"/>
          <w:color w:val="auto"/>
        </w:rPr>
        <w:t xml:space="preserve"> Amendment </w:t>
      </w:r>
      <w:r>
        <w:rPr>
          <w:rFonts w:ascii="Times New Roman" w:cs="Times New Roman" w:eastAsia="Times New Roman" w:hAnsi="Times New Roman"/>
          <w:sz w:val="20"/>
          <w:szCs w:val="20"/>
          <w:color w:val="auto"/>
        </w:rPr>
        <w:t>shall replace, amend and/or add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Supply Agreement with the following issues:</w:t>
      </w:r>
    </w:p>
    <w:p>
      <w:pPr>
        <w:spacing w:after="0" w:line="219" w:lineRule="exact"/>
        <w:rPr>
          <w:rFonts w:ascii="Times New Roman" w:cs="Times New Roman" w:eastAsia="Times New Roman" w:hAnsi="Times New Roman"/>
          <w:sz w:val="20"/>
          <w:szCs w:val="20"/>
          <w:color w:val="auto"/>
        </w:rPr>
      </w:pPr>
    </w:p>
    <w:p>
      <w:pPr>
        <w:ind w:left="720" w:hanging="389"/>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color w:val="auto"/>
        </w:rPr>
        <w:t>Project Maintenance Fee.</w:t>
      </w:r>
      <w:r>
        <w:rPr>
          <w:rFonts w:ascii="Times New Roman" w:cs="Times New Roman" w:eastAsia="Times New Roman" w:hAnsi="Times New Roman"/>
          <w:sz w:val="20"/>
          <w:szCs w:val="20"/>
          <w:color w:val="auto"/>
        </w:rPr>
        <w:t xml:space="preserve"> Beginning with the year ending December 31, 2025, the Parties agree to add and implement to the Supply Agreement a yearly project maintenance fee (“</w:t>
      </w:r>
      <w:r>
        <w:rPr>
          <w:rFonts w:ascii="Times New Roman" w:cs="Times New Roman" w:eastAsia="Times New Roman" w:hAnsi="Times New Roman"/>
          <w:sz w:val="20"/>
          <w:szCs w:val="20"/>
          <w:b w:val="1"/>
          <w:bCs w:val="1"/>
          <w:color w:val="auto"/>
        </w:rPr>
        <w:t>Project Maintenance Fee</w:t>
      </w:r>
      <w:r>
        <w:rPr>
          <w:rFonts w:ascii="Times New Roman" w:cs="Times New Roman" w:eastAsia="Times New Roman" w:hAnsi="Times New Roman"/>
          <w:sz w:val="20"/>
          <w:szCs w:val="20"/>
          <w:color w:val="auto"/>
        </w:rPr>
        <w:t>”) based on the following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8"/>
          <w:szCs w:val="18"/>
          <w:color w:val="auto"/>
        </w:rPr>
        <w:t>Page 1 of 5</w:t>
      </w:r>
    </w:p>
    <w:p>
      <w:pPr>
        <w:sectPr>
          <w:pgSz w:w="11900" w:h="16838" w:orient="portrait"/>
          <w:cols w:equalWidth="0" w:num="1">
            <w:col w:w="11240"/>
          </w:cols>
          <w:pgMar w:left="320" w:top="114" w:right="339" w:bottom="1440" w:gutter="0" w:footer="0" w:header="0"/>
        </w:sectPr>
      </w:pPr>
    </w:p>
    <w:bookmarkStart w:id="51" w:name="page52"/>
    <w:bookmarkEnd w:id="51"/>
    <w:p>
      <w:pPr>
        <w:spacing w:after="0" w:line="236" w:lineRule="auto"/>
        <w:rPr>
          <w:sz w:val="20"/>
          <w:szCs w:val="20"/>
          <w:color w:val="auto"/>
        </w:rPr>
      </w:pPr>
      <w:r>
        <w:rPr>
          <w:rFonts w:ascii="Times New Roman" w:cs="Times New Roman" w:eastAsia="Times New Roman" w:hAnsi="Times New Roman"/>
          <w:sz w:val="17"/>
          <w:szCs w:val="17"/>
          <w:color w:val="auto"/>
        </w:rPr>
        <w:t>CERTAIN CONFIDENTIAL PORTIONS OF THIS EXHIBIT HAVE BEEN OMITTED AND REPLACED WITH “[***]”. SUCH INFORMATION HAS BEEN OMITTED BECAUSE (i) IT IS NOT MATERIAL, AND (ii) IT WOULD LIKELY CAUSE COMPETITIVE HARM TO THE COMPANY IF</w:t>
      </w:r>
    </w:p>
    <w:p>
      <w:pPr>
        <w:spacing w:after="0"/>
        <w:rPr>
          <w:sz w:val="20"/>
          <w:szCs w:val="20"/>
          <w:color w:val="auto"/>
        </w:rPr>
      </w:pPr>
      <w:r>
        <w:rPr>
          <w:rFonts w:ascii="Times New Roman" w:cs="Times New Roman" w:eastAsia="Times New Roman" w:hAnsi="Times New Roman"/>
          <w:sz w:val="18"/>
          <w:szCs w:val="18"/>
          <w:color w:val="auto"/>
        </w:rPr>
        <w:t>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730" w:type="dxa"/>
        <w:tblCellMar>
          <w:top w:w="0" w:type="dxa"/>
          <w:left w:w="0" w:type="dxa"/>
          <w:bottom w:w="0" w:type="dxa"/>
          <w:right w:w="0" w:type="dxa"/>
        </w:tblCellMar>
      </w:tblPr>
      <w:tr>
        <w:trPr>
          <w:trHeight w:val="289"/>
        </w:trPr>
        <w:tc>
          <w:tcPr>
            <w:tcW w:w="3120" w:type="dxa"/>
            <w:vAlign w:val="bottom"/>
            <w:tcBorders>
              <w:top w:val="single" w:sz="8" w:color="auto"/>
              <w:left w:val="single" w:sz="8" w:color="auto"/>
              <w:right w:val="single" w:sz="8" w:color="auto"/>
            </w:tcBorders>
          </w:tcPr>
          <w:p>
            <w:pPr>
              <w:jc w:val="right"/>
              <w:ind w:right="1261"/>
              <w:spacing w:after="0"/>
              <w:rPr>
                <w:sz w:val="20"/>
                <w:szCs w:val="20"/>
                <w:color w:val="auto"/>
              </w:rPr>
            </w:pPr>
            <w:r>
              <w:rPr>
                <w:rFonts w:ascii="Times New Roman" w:cs="Times New Roman" w:eastAsia="Times New Roman" w:hAnsi="Times New Roman"/>
                <w:sz w:val="20"/>
                <w:szCs w:val="20"/>
                <w:b w:val="1"/>
                <w:bCs w:val="1"/>
                <w:color w:val="auto"/>
              </w:rPr>
              <w:t>Year</w:t>
            </w:r>
          </w:p>
        </w:tc>
        <w:tc>
          <w:tcPr>
            <w:tcW w:w="324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Number of ordered Instruments</w:t>
            </w:r>
          </w:p>
        </w:tc>
        <w:tc>
          <w:tcPr>
            <w:tcW w:w="326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0"/>
                <w:szCs w:val="20"/>
                <w:b w:val="1"/>
                <w:bCs w:val="1"/>
                <w:color w:val="auto"/>
              </w:rPr>
              <w:t>Project Maintenance Fee</w:t>
            </w:r>
          </w:p>
        </w:tc>
        <w:tc>
          <w:tcPr>
            <w:tcW w:w="0" w:type="dxa"/>
            <w:vAlign w:val="bottom"/>
          </w:tcPr>
          <w:p>
            <w:pPr>
              <w:spacing w:after="0"/>
              <w:rPr>
                <w:sz w:val="1"/>
                <w:szCs w:val="1"/>
                <w:color w:val="auto"/>
              </w:rPr>
            </w:pPr>
          </w:p>
        </w:tc>
      </w:tr>
      <w:tr>
        <w:trPr>
          <w:trHeight w:val="223"/>
        </w:trPr>
        <w:tc>
          <w:tcPr>
            <w:tcW w:w="312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Borders>
              <w:left w:val="single" w:sz="8" w:color="auto"/>
              <w:right w:val="single" w:sz="8" w:color="auto"/>
            </w:tcBorders>
            <w:vMerge w:val="restart"/>
          </w:tcPr>
          <w:p>
            <w:pPr>
              <w:jc w:val="right"/>
              <w:ind w:right="2541"/>
              <w:spacing w:after="0"/>
              <w:rPr>
                <w:sz w:val="20"/>
                <w:szCs w:val="20"/>
                <w:color w:val="auto"/>
              </w:rPr>
            </w:pPr>
            <w:r>
              <w:rPr>
                <w:rFonts w:ascii="Times New Roman" w:cs="Times New Roman" w:eastAsia="Times New Roman" w:hAnsi="Times New Roman"/>
                <w:sz w:val="20"/>
                <w:szCs w:val="20"/>
                <w:color w:val="auto"/>
              </w:rPr>
              <w:t>2025</w:t>
            </w:r>
          </w:p>
        </w:tc>
        <w:tc>
          <w:tcPr>
            <w:tcW w:w="3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Minimum of [***]</w:t>
            </w:r>
          </w:p>
        </w:tc>
        <w:tc>
          <w:tcPr>
            <w:tcW w:w="3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w:t>
            </w:r>
          </w:p>
        </w:tc>
        <w:tc>
          <w:tcPr>
            <w:tcW w:w="0" w:type="dxa"/>
            <w:vAlign w:val="bottom"/>
          </w:tcPr>
          <w:p>
            <w:pPr>
              <w:spacing w:after="0"/>
              <w:rPr>
                <w:sz w:val="1"/>
                <w:szCs w:val="1"/>
                <w:color w:val="auto"/>
              </w:rPr>
            </w:pPr>
          </w:p>
        </w:tc>
      </w:tr>
      <w:tr>
        <w:trPr>
          <w:trHeight w:val="223"/>
        </w:trPr>
        <w:tc>
          <w:tcPr>
            <w:tcW w:w="3120" w:type="dxa"/>
            <w:vAlign w:val="bottom"/>
            <w:tcBorders>
              <w:left w:val="single" w:sz="8" w:color="auto"/>
              <w:right w:val="single" w:sz="8" w:color="auto"/>
            </w:tcBorders>
            <w:vMerge w:val="continue"/>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120" w:type="dxa"/>
            <w:vAlign w:val="bottom"/>
            <w:tcBorders>
              <w:left w:val="single" w:sz="8" w:color="auto"/>
              <w:right w:val="single" w:sz="8" w:color="auto"/>
            </w:tcBorders>
          </w:tcPr>
          <w:p>
            <w:pPr>
              <w:spacing w:after="0"/>
              <w:rPr>
                <w:sz w:val="23"/>
                <w:szCs w:val="23"/>
                <w:color w:val="auto"/>
              </w:rPr>
            </w:pPr>
          </w:p>
        </w:tc>
        <w:tc>
          <w:tcPr>
            <w:tcW w:w="3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or more</w:t>
            </w:r>
          </w:p>
        </w:tc>
        <w:tc>
          <w:tcPr>
            <w:tcW w:w="3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 Project Maintenance Fee</w:t>
            </w:r>
          </w:p>
        </w:tc>
        <w:tc>
          <w:tcPr>
            <w:tcW w:w="0" w:type="dxa"/>
            <w:vAlign w:val="bottom"/>
          </w:tcPr>
          <w:p>
            <w:pPr>
              <w:spacing w:after="0"/>
              <w:rPr>
                <w:sz w:val="1"/>
                <w:szCs w:val="1"/>
                <w:color w:val="auto"/>
              </w:rPr>
            </w:pPr>
          </w:p>
        </w:tc>
      </w:tr>
      <w:tr>
        <w:trPr>
          <w:trHeight w:val="223"/>
        </w:trPr>
        <w:tc>
          <w:tcPr>
            <w:tcW w:w="312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Borders>
              <w:left w:val="single" w:sz="8" w:color="auto"/>
              <w:right w:val="single" w:sz="8" w:color="auto"/>
            </w:tcBorders>
          </w:tcPr>
          <w:p>
            <w:pPr>
              <w:spacing w:after="0"/>
              <w:rPr>
                <w:sz w:val="23"/>
                <w:szCs w:val="23"/>
                <w:color w:val="auto"/>
              </w:rPr>
            </w:pPr>
          </w:p>
        </w:tc>
        <w:tc>
          <w:tcPr>
            <w:tcW w:w="3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Minimum [***]</w:t>
            </w:r>
          </w:p>
        </w:tc>
        <w:tc>
          <w:tcPr>
            <w:tcW w:w="3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w:t>
            </w:r>
          </w:p>
        </w:tc>
        <w:tc>
          <w:tcPr>
            <w:tcW w:w="0" w:type="dxa"/>
            <w:vAlign w:val="bottom"/>
          </w:tcPr>
          <w:p>
            <w:pPr>
              <w:spacing w:after="0"/>
              <w:rPr>
                <w:sz w:val="1"/>
                <w:szCs w:val="1"/>
                <w:color w:val="auto"/>
              </w:rPr>
            </w:pPr>
          </w:p>
        </w:tc>
      </w:tr>
      <w:tr>
        <w:trPr>
          <w:trHeight w:val="223"/>
        </w:trPr>
        <w:tc>
          <w:tcPr>
            <w:tcW w:w="3120" w:type="dxa"/>
            <w:vAlign w:val="bottom"/>
            <w:tcBorders>
              <w:left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120" w:type="dxa"/>
            <w:vAlign w:val="bottom"/>
            <w:tcBorders>
              <w:left w:val="single" w:sz="8" w:color="auto"/>
              <w:right w:val="single" w:sz="8" w:color="auto"/>
            </w:tcBorders>
          </w:tcPr>
          <w:p>
            <w:pPr>
              <w:jc w:val="right"/>
              <w:ind w:right="2541"/>
              <w:spacing w:after="0"/>
              <w:rPr>
                <w:sz w:val="20"/>
                <w:szCs w:val="20"/>
                <w:color w:val="auto"/>
              </w:rPr>
            </w:pPr>
            <w:r>
              <w:rPr>
                <w:rFonts w:ascii="Times New Roman" w:cs="Times New Roman" w:eastAsia="Times New Roman" w:hAnsi="Times New Roman"/>
                <w:sz w:val="20"/>
                <w:szCs w:val="20"/>
                <w:color w:val="auto"/>
              </w:rPr>
              <w:t>2026</w:t>
            </w:r>
          </w:p>
        </w:tc>
        <w:tc>
          <w:tcPr>
            <w:tcW w:w="3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or more</w:t>
            </w:r>
          </w:p>
        </w:tc>
        <w:tc>
          <w:tcPr>
            <w:tcW w:w="3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w:t>
            </w:r>
          </w:p>
        </w:tc>
        <w:tc>
          <w:tcPr>
            <w:tcW w:w="0" w:type="dxa"/>
            <w:vAlign w:val="bottom"/>
          </w:tcPr>
          <w:p>
            <w:pPr>
              <w:spacing w:after="0"/>
              <w:rPr>
                <w:sz w:val="1"/>
                <w:szCs w:val="1"/>
                <w:color w:val="auto"/>
              </w:rPr>
            </w:pPr>
          </w:p>
        </w:tc>
      </w:tr>
      <w:tr>
        <w:trPr>
          <w:trHeight w:val="224"/>
        </w:trPr>
        <w:tc>
          <w:tcPr>
            <w:tcW w:w="3120" w:type="dxa"/>
            <w:vAlign w:val="bottom"/>
            <w:tcBorders>
              <w:left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120" w:type="dxa"/>
            <w:vAlign w:val="bottom"/>
            <w:tcBorders>
              <w:left w:val="single" w:sz="8" w:color="auto"/>
              <w:right w:val="single" w:sz="8" w:color="auto"/>
            </w:tcBorders>
          </w:tcPr>
          <w:p>
            <w:pPr>
              <w:spacing w:after="0"/>
              <w:rPr>
                <w:sz w:val="23"/>
                <w:szCs w:val="23"/>
                <w:color w:val="auto"/>
              </w:rPr>
            </w:pPr>
          </w:p>
        </w:tc>
        <w:tc>
          <w:tcPr>
            <w:tcW w:w="3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or more</w:t>
            </w:r>
          </w:p>
        </w:tc>
        <w:tc>
          <w:tcPr>
            <w:tcW w:w="3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 Project Maintenance Fee</w:t>
            </w:r>
          </w:p>
        </w:tc>
        <w:tc>
          <w:tcPr>
            <w:tcW w:w="0" w:type="dxa"/>
            <w:vAlign w:val="bottom"/>
          </w:tcPr>
          <w:p>
            <w:pPr>
              <w:spacing w:after="0"/>
              <w:rPr>
                <w:sz w:val="1"/>
                <w:szCs w:val="1"/>
                <w:color w:val="auto"/>
              </w:rPr>
            </w:pPr>
          </w:p>
        </w:tc>
      </w:tr>
      <w:tr>
        <w:trPr>
          <w:trHeight w:val="223"/>
        </w:trPr>
        <w:tc>
          <w:tcPr>
            <w:tcW w:w="312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left="720"/>
        <w:spacing w:after="0" w:line="279" w:lineRule="auto"/>
        <w:rPr>
          <w:sz w:val="20"/>
          <w:szCs w:val="20"/>
          <w:color w:val="auto"/>
        </w:rPr>
      </w:pPr>
      <w:r>
        <w:rPr>
          <w:rFonts w:ascii="Times New Roman" w:cs="Times New Roman" w:eastAsia="Times New Roman" w:hAnsi="Times New Roman"/>
          <w:sz w:val="20"/>
          <w:szCs w:val="20"/>
          <w:color w:val="auto"/>
        </w:rPr>
        <w:t>STRATEC shall be entitled to invoice the respective amount of the Project Maintenance Fee in December of the respective current calendar year. STRATEC shall invoice the Project Maintenance Fee according to the aforementioned table and considering the actual number of ordered Instruments within the respective year and in accordance to the described payment terms in Section 2.3 of this 3rd Amendment. For clarification, a Project Maintenance Fee shall not apply if the reason for the missing number of required Instruments is due to STRATEC’s sole inability to deliver the Instruments. If the Supply Agreement is terminated prior to the end of a calendar year in accordance with Section 11 of the Supply Agreement, the Project Maintenance Fee for such year shall be prorated based on the number of days during the year that the Supply Agreement was in effect.</w:t>
      </w:r>
    </w:p>
    <w:p>
      <w:pPr>
        <w:spacing w:after="0" w:line="208" w:lineRule="exact"/>
        <w:rPr>
          <w:sz w:val="20"/>
          <w:szCs w:val="20"/>
          <w:color w:val="auto"/>
        </w:rPr>
      </w:pPr>
    </w:p>
    <w:p>
      <w:pPr>
        <w:jc w:val="both"/>
        <w:ind w:left="720"/>
        <w:spacing w:after="0" w:line="299" w:lineRule="auto"/>
        <w:rPr>
          <w:sz w:val="20"/>
          <w:szCs w:val="20"/>
          <w:color w:val="auto"/>
        </w:rPr>
      </w:pPr>
      <w:r>
        <w:rPr>
          <w:rFonts w:ascii="Times New Roman" w:cs="Times New Roman" w:eastAsia="Times New Roman" w:hAnsi="Times New Roman"/>
          <w:sz w:val="19"/>
          <w:szCs w:val="19"/>
          <w:color w:val="auto"/>
        </w:rPr>
        <w:t>The amount of the Project Maintenance Fee may be discussed between the Parties on a regular basis of one (1) year. An initial discussion can take place two (2) years after the Effective Date. If the Parties will not be able to find a mutual solution during its discussions, the discussion will be escalated to the Steering Committee to discuss and evaluate the next steps in good faith to find an adequate solution for both Parties in consideration of the success of the project. During such discussion the current Project Maintenance Fee shall be paused and not be due by QTX. After agreement has been reached the newly defined Project Maintenance Fee shall be due with retroactive effect during the said pause and be applied in the future for the following two (2) year period.</w:t>
      </w:r>
    </w:p>
    <w:p>
      <w:pPr>
        <w:spacing w:after="0" w:line="185" w:lineRule="exact"/>
        <w:rPr>
          <w:sz w:val="20"/>
          <w:szCs w:val="20"/>
          <w:color w:val="auto"/>
        </w:rPr>
      </w:pPr>
    </w:p>
    <w:p>
      <w:pPr>
        <w:jc w:val="both"/>
        <w:ind w:left="720" w:hanging="388"/>
        <w:spacing w:after="0" w:line="31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color w:val="auto"/>
        </w:rPr>
        <w:t>Exclusivity, Minimum Purchase Commitment</w:t>
      </w:r>
      <w:r>
        <w:rPr>
          <w:rFonts w:ascii="Times New Roman" w:cs="Times New Roman" w:eastAsia="Times New Roman" w:hAnsi="Times New Roman"/>
          <w:sz w:val="20"/>
          <w:szCs w:val="20"/>
          <w:color w:val="auto"/>
        </w:rPr>
        <w:t>. QTX and STRATEC agree to change and supersede section 5.3 of the Supply Agreement as follows:</w:t>
      </w:r>
    </w:p>
    <w:p>
      <w:pPr>
        <w:spacing w:after="0" w:line="170" w:lineRule="exact"/>
        <w:rPr>
          <w:sz w:val="20"/>
          <w:szCs w:val="20"/>
          <w:color w:val="auto"/>
        </w:rPr>
      </w:pPr>
    </w:p>
    <w:p>
      <w:pPr>
        <w:ind w:left="720"/>
        <w:spacing w:after="0" w:line="311" w:lineRule="auto"/>
        <w:rPr>
          <w:sz w:val="20"/>
          <w:szCs w:val="20"/>
          <w:color w:val="auto"/>
        </w:rPr>
      </w:pPr>
      <w:r>
        <w:rPr>
          <w:rFonts w:ascii="Times New Roman" w:cs="Times New Roman" w:eastAsia="Times New Roman" w:hAnsi="Times New Roman"/>
          <w:sz w:val="20"/>
          <w:szCs w:val="20"/>
          <w:color w:val="auto"/>
        </w:rPr>
        <w:t>"QTX agrees to purchase a minimum quantity of [***] Instrument within a period of two (2) years starting on the Effective Date), whereas QTX shall order, take and pay a minimum quantity of [***] Instrument in 2025."</w:t>
      </w:r>
    </w:p>
    <w:p>
      <w:pPr>
        <w:spacing w:after="0" w:line="173" w:lineRule="exact"/>
        <w:rPr>
          <w:sz w:val="20"/>
          <w:szCs w:val="20"/>
          <w:color w:val="auto"/>
        </w:rPr>
      </w:pPr>
    </w:p>
    <w:p>
      <w:pPr>
        <w:jc w:val="both"/>
        <w:ind w:left="720" w:hanging="388"/>
        <w:spacing w:after="0" w:line="286" w:lineRule="auto"/>
        <w:rPr>
          <w:sz w:val="20"/>
          <w:szCs w:val="20"/>
          <w:color w:val="auto"/>
        </w:rPr>
      </w:pPr>
      <w:r>
        <w:rPr>
          <w:rFonts w:ascii="Times New Roman" w:cs="Times New Roman" w:eastAsia="Times New Roman" w:hAnsi="Times New Roman"/>
          <w:sz w:val="20"/>
          <w:szCs w:val="20"/>
          <w:color w:val="auto"/>
        </w:rPr>
        <w:t>2.3. The minimum quantity of [***] Instruments and the associated period of two (2) years (2025 and 2026) also apply in the context of the right to terminate the Supply Agreement according to Section 11.1 thereof, so that neither Party may elect to terminate the Supply Agreement under Section 11.1 prior to the later to occur of (i) the two (2) year anniversary of the Effective Date and (ii) QTX's purchase of the agreed minimum quantity of [***]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5</w:t>
      </w:r>
    </w:p>
    <w:p>
      <w:pPr>
        <w:sectPr>
          <w:pgSz w:w="11900" w:h="16838" w:orient="portrait"/>
          <w:cols w:equalWidth="0" w:num="1">
            <w:col w:w="11240"/>
          </w:cols>
          <w:pgMar w:left="320" w:top="594" w:right="339" w:bottom="1440" w:gutter="0" w:footer="0" w:header="0"/>
        </w:sectPr>
      </w:pPr>
    </w:p>
    <w:bookmarkStart w:id="52" w:name="page53"/>
    <w:bookmarkEnd w:id="52"/>
    <w:p>
      <w:pPr>
        <w:spacing w:after="0" w:line="236" w:lineRule="auto"/>
        <w:rPr>
          <w:sz w:val="20"/>
          <w:szCs w:val="20"/>
          <w:color w:val="auto"/>
        </w:rPr>
      </w:pPr>
      <w:r>
        <w:rPr>
          <w:rFonts w:ascii="Times New Roman" w:cs="Times New Roman" w:eastAsia="Times New Roman" w:hAnsi="Times New Roman"/>
          <w:sz w:val="17"/>
          <w:szCs w:val="17"/>
          <w:color w:val="auto"/>
        </w:rPr>
        <w:t>CERTAIN CONFIDENTIAL PORTIONS OF THIS EXHIBIT HAVE BEEN OMITTED AND REPLACED WITH “[***]”. SUCH INFORMATION HAS BEEN OMITTED BECAUSE (i) IT IS NOT MATERIAL, AND (ii) IT WOULD LIKELY CAUSE COMPETITIVE HARM TO THE COMPANY IF</w:t>
      </w:r>
    </w:p>
    <w:p>
      <w:pPr>
        <w:spacing w:after="0"/>
        <w:rPr>
          <w:sz w:val="20"/>
          <w:szCs w:val="20"/>
          <w:color w:val="auto"/>
        </w:rPr>
      </w:pPr>
      <w:r>
        <w:rPr>
          <w:rFonts w:ascii="Times New Roman" w:cs="Times New Roman" w:eastAsia="Times New Roman" w:hAnsi="Times New Roman"/>
          <w:sz w:val="18"/>
          <w:szCs w:val="18"/>
          <w:color w:val="auto"/>
        </w:rPr>
        <w:t>DISCLOSED.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spacing w:after="0" w:line="297" w:lineRule="auto"/>
        <w:rPr>
          <w:sz w:val="20"/>
          <w:szCs w:val="20"/>
          <w:color w:val="auto"/>
        </w:rPr>
      </w:pPr>
      <w:r>
        <w:rPr>
          <w:rFonts w:ascii="Times New Roman" w:cs="Times New Roman" w:eastAsia="Times New Roman" w:hAnsi="Times New Roman"/>
          <w:sz w:val="20"/>
          <w:szCs w:val="20"/>
          <w:color w:val="auto"/>
        </w:rPr>
        <w:t>According to the actual yearly quantity of Instruments taken and paid by QTX, the Project Maintenance Fee is adjusted as defined in 2.1 of this Amendment.</w:t>
      </w:r>
    </w:p>
    <w:p>
      <w:pPr>
        <w:spacing w:after="0" w:line="196" w:lineRule="exact"/>
        <w:rPr>
          <w:sz w:val="20"/>
          <w:szCs w:val="20"/>
          <w:color w:val="auto"/>
        </w:rPr>
      </w:pPr>
    </w:p>
    <w:p>
      <w:pPr>
        <w:jc w:val="both"/>
        <w:ind w:left="720" w:hanging="38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2.4. Pricing. Pricing. </w:t>
      </w:r>
      <w:r>
        <w:rPr>
          <w:rFonts w:ascii="Times New Roman" w:cs="Times New Roman" w:eastAsia="Times New Roman" w:hAnsi="Times New Roman"/>
          <w:sz w:val="20"/>
          <w:szCs w:val="20"/>
          <w:color w:val="auto"/>
        </w:rPr>
        <w:t>The Parties mutually agree to change section 6.1 a. of the Supply Agreement with respect to the price for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Instrument as follows. For the sake of clarity, at the time of the Effective Date the current price of the Instruments of [***] USD, dated June 28, 2022 shall be replaced as mutually agreed between the Parties. As of January 1, 2025 the following prices per Instrument shall apply: (i) The standard price per Instrument amounts [***] USD; (ii) if a single order of at least [***] Instruments is placed by QTX within a calendar year, the price per Instrument for that order, and any subsequent order in the same calendar year, shall be [***] USD; (iii) if an order lower than [***] Instruments is placed first within a calendar year, but the total number of Instruments ordered exceeds [***], the reduced price of [***] USD shall apply only from the [***] Instrument onwards within the same calendar year, for all other Instruments the standard price under (i) shall apply . The reduced prices under (ii) and (iii) shall not apply retroactively to Instruments already invoiced and delivered prior to reaching the applicable quantity threshold. The prices are subject to adjustments in accordance with Section 2.5 of this Amendment</w:t>
      </w:r>
      <w:r>
        <w:rPr>
          <w:rFonts w:ascii="Times New Roman" w:cs="Times New Roman" w:eastAsia="Times New Roman" w:hAnsi="Times New Roman"/>
          <w:sz w:val="20"/>
          <w:szCs w:val="20"/>
          <w:color w:val="4EA72E"/>
        </w:rPr>
        <w:t>.</w:t>
      </w:r>
    </w:p>
    <w:p>
      <w:pPr>
        <w:spacing w:after="0" w:line="221" w:lineRule="exact"/>
        <w:rPr>
          <w:sz w:val="20"/>
          <w:szCs w:val="20"/>
          <w:color w:val="auto"/>
        </w:rPr>
      </w:pPr>
    </w:p>
    <w:p>
      <w:pPr>
        <w:jc w:val="both"/>
        <w:ind w:left="720" w:hanging="388"/>
        <w:spacing w:after="0" w:line="291"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b w:val="1"/>
          <w:bCs w:val="1"/>
          <w:color w:val="auto"/>
        </w:rPr>
        <w:t>Price List, Price Adjustment.</w:t>
      </w:r>
      <w:r>
        <w:rPr>
          <w:rFonts w:ascii="Times New Roman" w:cs="Times New Roman" w:eastAsia="Times New Roman" w:hAnsi="Times New Roman"/>
          <w:sz w:val="20"/>
          <w:szCs w:val="20"/>
          <w:color w:val="auto"/>
        </w:rPr>
        <w:t xml:space="preserve"> The Parties mutually agree to change section 6.2 of the Supply Agreement with respect to price adjustments as follows. At the beginning of 2026, STRATEC will have the right to increase the price once a year in line with the producer price index for industrial products published by Destatis at the following website: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467886"/>
        </w:rPr>
        <w:t>https://www.destatis.de/EN/Themes/Economy/Prices/Producer-Price-Index-For-Industrial-Products/_node.html</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valid for Germany for the previous year following three (3) months written notice to QTX.</w:t>
      </w:r>
    </w:p>
    <w:p>
      <w:pPr>
        <w:spacing w:after="0" w:line="212" w:lineRule="exact"/>
        <w:rPr>
          <w:sz w:val="20"/>
          <w:szCs w:val="20"/>
          <w:color w:val="auto"/>
        </w:rPr>
      </w:pPr>
    </w:p>
    <w:p>
      <w:pPr>
        <w:jc w:val="both"/>
        <w:ind w:left="720" w:hanging="388"/>
        <w:spacing w:after="0" w:line="30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b w:val="1"/>
          <w:bCs w:val="1"/>
          <w:color w:val="auto"/>
        </w:rPr>
        <w:t>Obsolescence.</w:t>
      </w:r>
      <w:r>
        <w:rPr>
          <w:rFonts w:ascii="Times New Roman" w:cs="Times New Roman" w:eastAsia="Times New Roman" w:hAnsi="Times New Roman"/>
          <w:sz w:val="20"/>
          <w:szCs w:val="20"/>
          <w:color w:val="auto"/>
        </w:rPr>
        <w:t xml:space="preserve"> The Parties mutually agree that STRATEC shall invoice and QTX shall pay all cost of re- design due to obsolescence or resulting from a last-time-buy, including but not limited to cost of financing, costs of storage.</w:t>
      </w:r>
    </w:p>
    <w:p>
      <w:pPr>
        <w:spacing w:after="0" w:line="193" w:lineRule="exact"/>
        <w:rPr>
          <w:sz w:val="20"/>
          <w:szCs w:val="20"/>
          <w:color w:val="auto"/>
        </w:rPr>
      </w:pPr>
    </w:p>
    <w:p>
      <w:pPr>
        <w:jc w:val="both"/>
        <w:ind w:left="720" w:hanging="388"/>
        <w:spacing w:after="0" w:line="301"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b w:val="1"/>
          <w:bCs w:val="1"/>
          <w:color w:val="auto"/>
        </w:rPr>
        <w:t>Payment Terms.</w:t>
      </w:r>
      <w:r>
        <w:rPr>
          <w:rFonts w:ascii="Times New Roman" w:cs="Times New Roman" w:eastAsia="Times New Roman" w:hAnsi="Times New Roman"/>
          <w:sz w:val="20"/>
          <w:szCs w:val="20"/>
          <w:color w:val="auto"/>
        </w:rPr>
        <w:t xml:space="preserve"> With the Effective Date, the payment terms as agreed in the Supply Agreement for Instruments, Project Maintenance Fee and any other products sold or provided by STRATEC shall be still net thirty (30) days of the invoice date.</w:t>
      </w:r>
    </w:p>
    <w:p>
      <w:pPr>
        <w:spacing w:after="0" w:line="193" w:lineRule="exact"/>
        <w:rPr>
          <w:sz w:val="20"/>
          <w:szCs w:val="20"/>
          <w:color w:val="auto"/>
        </w:rPr>
      </w:pPr>
    </w:p>
    <w:p>
      <w:pPr>
        <w:jc w:val="both"/>
        <w:ind w:left="720" w:hanging="388"/>
        <w:spacing w:after="0" w:line="291"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b w:val="1"/>
          <w:bCs w:val="1"/>
          <w:color w:val="auto"/>
        </w:rPr>
        <w:t>Outlook</w:t>
      </w:r>
      <w:r>
        <w:rPr>
          <w:rFonts w:ascii="Times New Roman" w:cs="Times New Roman" w:eastAsia="Times New Roman" w:hAnsi="Times New Roman"/>
          <w:sz w:val="20"/>
          <w:szCs w:val="20"/>
          <w:color w:val="auto"/>
        </w:rPr>
        <w:t>. In general, the parties have agreed to resume negotiations at the beginning of 2026 regarding the extension of the Supply Agreement, including issues related to the amount and period of subsequent Minimum Purchase Commitment, pricing, procurement, production, and a possible sunset.</w:t>
      </w:r>
    </w:p>
    <w:p>
      <w:pPr>
        <w:spacing w:after="0" w:line="189" w:lineRule="exact"/>
        <w:rPr>
          <w:sz w:val="20"/>
          <w:szCs w:val="20"/>
          <w:color w:val="auto"/>
        </w:rPr>
      </w:pPr>
    </w:p>
    <w:p>
      <w:pPr>
        <w:ind w:left="340" w:hanging="332"/>
        <w:spacing w:after="0" w:line="255" w:lineRule="auto"/>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3</w:t>
      </w:r>
      <w:r>
        <w:rPr>
          <w:rFonts w:ascii="Times New Roman" w:cs="Times New Roman" w:eastAsia="Times New Roman" w:hAnsi="Times New Roman"/>
          <w:sz w:val="25"/>
          <w:szCs w:val="25"/>
          <w:b w:val="1"/>
          <w:bCs w:val="1"/>
          <w:color w:val="auto"/>
          <w:vertAlign w:val="superscript"/>
        </w:rPr>
        <w:t>rd</w:t>
      </w:r>
      <w:r>
        <w:rPr>
          <w:rFonts w:ascii="Times New Roman" w:cs="Times New Roman" w:eastAsia="Times New Roman" w:hAnsi="Times New Roman"/>
          <w:sz w:val="20"/>
          <w:szCs w:val="20"/>
          <w:b w:val="1"/>
          <w:bCs w:val="1"/>
          <w:color w:val="auto"/>
        </w:rPr>
        <w:t xml:space="preserve"> Amendment </w:t>
      </w:r>
      <w:r>
        <w:rPr>
          <w:rFonts w:ascii="Times New Roman" w:cs="Times New Roman" w:eastAsia="Times New Roman" w:hAnsi="Times New Roman"/>
          <w:sz w:val="20"/>
          <w:szCs w:val="20"/>
          <w:color w:val="auto"/>
        </w:rPr>
        <w:t>may be executed in two or more counterparts, each of which will be deemed an original, but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together will constitute one and the same instrument.</w:t>
      </w:r>
    </w:p>
    <w:p>
      <w:pPr>
        <w:spacing w:after="0" w:line="219"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Effectiveness.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3</w:t>
      </w:r>
      <w:r>
        <w:rPr>
          <w:rFonts w:ascii="Times New Roman" w:cs="Times New Roman" w:eastAsia="Times New Roman" w:hAnsi="Times New Roman"/>
          <w:sz w:val="25"/>
          <w:szCs w:val="25"/>
          <w:b w:val="1"/>
          <w:bCs w:val="1"/>
          <w:color w:val="auto"/>
          <w:vertAlign w:val="superscript"/>
        </w:rPr>
        <w:t>rd</w:t>
      </w:r>
      <w:r>
        <w:rPr>
          <w:rFonts w:ascii="Times New Roman" w:cs="Times New Roman" w:eastAsia="Times New Roman" w:hAnsi="Times New Roman"/>
          <w:sz w:val="20"/>
          <w:szCs w:val="20"/>
          <w:b w:val="1"/>
          <w:bCs w:val="1"/>
          <w:color w:val="auto"/>
        </w:rPr>
        <w:t xml:space="preserve"> Amendment </w:t>
      </w:r>
      <w:r>
        <w:rPr>
          <w:rFonts w:ascii="Times New Roman" w:cs="Times New Roman" w:eastAsia="Times New Roman" w:hAnsi="Times New Roman"/>
          <w:sz w:val="20"/>
          <w:szCs w:val="20"/>
          <w:color w:val="auto"/>
        </w:rPr>
        <w:t>will become effective at the Effective Date and upon the execution hereof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5</w:t>
      </w:r>
    </w:p>
    <w:p>
      <w:pPr>
        <w:sectPr>
          <w:pgSz w:w="11900" w:h="16838" w:orient="portrait"/>
          <w:cols w:equalWidth="0" w:num="1">
            <w:col w:w="11240"/>
          </w:cols>
          <w:pgMar w:left="320" w:top="594" w:right="339" w:bottom="1440" w:gutter="0" w:footer="0" w:header="0"/>
        </w:sectPr>
      </w:pPr>
    </w:p>
    <w:bookmarkStart w:id="53" w:name="page54"/>
    <w:bookmarkEnd w:id="53"/>
    <w:p>
      <w:pPr>
        <w:spacing w:after="0" w:line="236" w:lineRule="auto"/>
        <w:rPr>
          <w:sz w:val="20"/>
          <w:szCs w:val="20"/>
          <w:color w:val="auto"/>
        </w:rPr>
      </w:pPr>
      <w:r>
        <w:rPr>
          <w:rFonts w:ascii="Times New Roman" w:cs="Times New Roman" w:eastAsia="Times New Roman" w:hAnsi="Times New Roman"/>
          <w:sz w:val="17"/>
          <w:szCs w:val="17"/>
          <w:color w:val="auto"/>
        </w:rPr>
        <w:t>CERTAIN CONFIDENTIAL PORTIONS OF THIS EXHIBIT HAVE BEEN OMITTED AND REPLACED WITH “[***]”. SUCH INFORMATION HAS BEEN OMITTED BECAUSE (i) IT IS NOT MATERIAL, AND (ii) IT WOULD LIKELY CAUSE COMPETITIVE HARM TO THE COMPANY IF</w:t>
      </w:r>
    </w:p>
    <w:p>
      <w:pPr>
        <w:spacing w:after="0"/>
        <w:rPr>
          <w:sz w:val="20"/>
          <w:szCs w:val="20"/>
          <w:color w:val="auto"/>
        </w:rPr>
      </w:pPr>
      <w:r>
        <w:rPr>
          <w:rFonts w:ascii="Times New Roman" w:cs="Times New Roman" w:eastAsia="Times New Roman" w:hAnsi="Times New Roman"/>
          <w:sz w:val="18"/>
          <w:szCs w:val="18"/>
          <w:color w:val="auto"/>
        </w:rPr>
        <w:t>DISCLOSED.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right="20" w:hanging="332"/>
        <w:spacing w:after="0" w:line="251"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Continuing Effect. </w:t>
      </w:r>
      <w:r>
        <w:rPr>
          <w:rFonts w:ascii="Times New Roman" w:cs="Times New Roman" w:eastAsia="Times New Roman" w:hAnsi="Times New Roman"/>
          <w:sz w:val="20"/>
          <w:szCs w:val="20"/>
          <w:color w:val="auto"/>
        </w:rPr>
        <w:t>Other than as set forth in this</w:t>
      </w:r>
      <w:r>
        <w:rPr>
          <w:rFonts w:ascii="Times New Roman" w:cs="Times New Roman" w:eastAsia="Times New Roman" w:hAnsi="Times New Roman"/>
          <w:sz w:val="20"/>
          <w:szCs w:val="20"/>
          <w:b w:val="1"/>
          <w:bCs w:val="1"/>
          <w:color w:val="auto"/>
        </w:rPr>
        <w:t xml:space="preserve"> 3</w:t>
      </w:r>
      <w:r>
        <w:rPr>
          <w:rFonts w:ascii="Times New Roman" w:cs="Times New Roman" w:eastAsia="Times New Roman" w:hAnsi="Times New Roman"/>
          <w:sz w:val="25"/>
          <w:szCs w:val="25"/>
          <w:b w:val="1"/>
          <w:bCs w:val="1"/>
          <w:color w:val="auto"/>
          <w:vertAlign w:val="superscript"/>
        </w:rPr>
        <w:t>rd</w:t>
      </w:r>
      <w:r>
        <w:rPr>
          <w:rFonts w:ascii="Times New Roman" w:cs="Times New Roman" w:eastAsia="Times New Roman" w:hAnsi="Times New Roman"/>
          <w:sz w:val="20"/>
          <w:szCs w:val="20"/>
          <w:b w:val="1"/>
          <w:bCs w:val="1"/>
          <w:color w:val="auto"/>
        </w:rPr>
        <w:t xml:space="preserve"> Amendment</w:t>
      </w:r>
      <w:r>
        <w:rPr>
          <w:rFonts w:ascii="Times New Roman" w:cs="Times New Roman" w:eastAsia="Times New Roman" w:hAnsi="Times New Roman"/>
          <w:sz w:val="20"/>
          <w:szCs w:val="20"/>
          <w:color w:val="auto"/>
        </w:rPr>
        <w:t>, all of the terms and conditions of the Supply Agreement, along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valid Amendments in effect will continue in full force and effect.</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5</w:t>
      </w:r>
    </w:p>
    <w:p>
      <w:pPr>
        <w:sectPr>
          <w:pgSz w:w="11900" w:h="16838" w:orient="portrait"/>
          <w:cols w:equalWidth="0" w:num="1">
            <w:col w:w="11240"/>
          </w:cols>
          <w:pgMar w:left="320" w:top="594" w:right="339" w:bottom="1440" w:gutter="0" w:footer="0" w:header="0"/>
        </w:sectPr>
      </w:pPr>
    </w:p>
    <w:bookmarkStart w:id="54" w:name="page55"/>
    <w:bookmarkEnd w:id="54"/>
    <w:p>
      <w:pPr>
        <w:spacing w:after="0" w:line="236" w:lineRule="auto"/>
        <w:rPr>
          <w:sz w:val="20"/>
          <w:szCs w:val="20"/>
          <w:color w:val="auto"/>
        </w:rPr>
      </w:pPr>
      <w:r>
        <w:rPr>
          <w:rFonts w:ascii="Times New Roman" w:cs="Times New Roman" w:eastAsia="Times New Roman" w:hAnsi="Times New Roman"/>
          <w:sz w:val="17"/>
          <w:szCs w:val="17"/>
          <w:color w:val="auto"/>
        </w:rPr>
        <w:t>CERTAIN CONFIDENTIAL PORTIONS OF THIS EXHIBIT HAVE BEEN OMITTED AND REPLACED WITH “[***]”. SUCH INFORMATION HAS BEEN OMITTED BECAUSE (i) IT IS NOT MATERIAL, AND (ii) IT WOULD LIKELY CAUSE COMPETITIVE HARM TO THE COMPANY IF</w:t>
      </w:r>
    </w:p>
    <w:p>
      <w:pPr>
        <w:spacing w:after="0"/>
        <w:rPr>
          <w:sz w:val="20"/>
          <w:szCs w:val="20"/>
          <w:color w:val="auto"/>
        </w:rPr>
      </w:pPr>
      <w:r>
        <w:rPr>
          <w:rFonts w:ascii="Times New Roman" w:cs="Times New Roman" w:eastAsia="Times New Roman" w:hAnsi="Times New Roman"/>
          <w:sz w:val="18"/>
          <w:szCs w:val="18"/>
          <w:color w:val="auto"/>
        </w:rPr>
        <w:t>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w:t>
      </w:r>
      <w:r>
        <w:rPr>
          <w:rFonts w:ascii="Times New Roman" w:cs="Times New Roman" w:eastAsia="Times New Roman" w:hAnsi="Times New Roman"/>
          <w:sz w:val="20"/>
          <w:szCs w:val="20"/>
          <w:b w:val="1"/>
          <w:bCs w:val="1"/>
          <w:color w:val="auto"/>
        </w:rPr>
        <w:t xml:space="preserve"> 3</w:t>
      </w:r>
      <w:r>
        <w:rPr>
          <w:rFonts w:ascii="Times New Roman" w:cs="Times New Roman" w:eastAsia="Times New Roman" w:hAnsi="Times New Roman"/>
          <w:sz w:val="25"/>
          <w:szCs w:val="25"/>
          <w:b w:val="1"/>
          <w:bCs w:val="1"/>
          <w:color w:val="auto"/>
          <w:vertAlign w:val="superscript"/>
        </w:rPr>
        <w:t>rd</w:t>
      </w:r>
      <w:r>
        <w:rPr>
          <w:rFonts w:ascii="Times New Roman" w:cs="Times New Roman" w:eastAsia="Times New Roman" w:hAnsi="Times New Roman"/>
          <w:sz w:val="20"/>
          <w:szCs w:val="20"/>
          <w:b w:val="1"/>
          <w:bCs w:val="1"/>
          <w:color w:val="auto"/>
        </w:rPr>
        <w:t xml:space="preserve"> Amendment </w:t>
      </w:r>
      <w:r>
        <w:rPr>
          <w:rFonts w:ascii="Times New Roman" w:cs="Times New Roman" w:eastAsia="Times New Roman" w:hAnsi="Times New Roman"/>
          <w:sz w:val="20"/>
          <w:szCs w:val="20"/>
          <w:color w:val="auto"/>
        </w:rPr>
        <w:t>as of the date first written above.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8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Quanterix Corporation</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40" w:type="dxa"/>
            <w:vAlign w:val="bottom"/>
            <w:gridSpan w:val="8"/>
          </w:tcPr>
          <w:p>
            <w:pPr>
              <w:ind w:left="180"/>
              <w:spacing w:after="0"/>
              <w:rPr>
                <w:sz w:val="20"/>
                <w:szCs w:val="20"/>
                <w:color w:val="auto"/>
              </w:rPr>
            </w:pPr>
            <w:r>
              <w:rPr>
                <w:rFonts w:ascii="Times New Roman" w:cs="Times New Roman" w:eastAsia="Times New Roman" w:hAnsi="Times New Roman"/>
                <w:sz w:val="20"/>
                <w:szCs w:val="20"/>
                <w:b w:val="1"/>
                <w:bCs w:val="1"/>
                <w:color w:val="auto"/>
              </w:rPr>
              <w:t>STRATEC SE</w:t>
            </w:r>
          </w:p>
        </w:tc>
      </w:tr>
      <w:tr>
        <w:trPr>
          <w:trHeight w:val="467"/>
        </w:trPr>
        <w:tc>
          <w:tcPr>
            <w:tcW w:w="21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Venue, Date:   17.06.2025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Venue, Date:   16.06.2025</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2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w w:val="97"/>
              </w:rPr>
              <w:t>/s/ Masoud Toloue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By:   /s/ Adrian Rapp</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9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6"/>
              </w:rPr>
              <w:t>Masoud Toloue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7"/>
          </w:tcPr>
          <w:p>
            <w:pPr>
              <w:jc w:val="center"/>
              <w:ind w:right="660"/>
              <w:spacing w:after="0"/>
              <w:rPr>
                <w:sz w:val="20"/>
                <w:szCs w:val="20"/>
                <w:color w:val="auto"/>
              </w:rPr>
            </w:pPr>
            <w:r>
              <w:rPr>
                <w:rFonts w:ascii="Times New Roman" w:cs="Times New Roman" w:eastAsia="Times New Roman" w:hAnsi="Times New Roman"/>
                <w:sz w:val="20"/>
                <w:szCs w:val="20"/>
                <w:color w:val="auto"/>
              </w:rPr>
              <w:t>Name:   Adrian Rapp</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CEO</w:t>
            </w:r>
          </w:p>
        </w:tc>
        <w:tc>
          <w:tcPr>
            <w:tcW w:w="360" w:type="dxa"/>
            <w:vAlign w:val="bottom"/>
          </w:tcPr>
          <w:p>
            <w:pPr>
              <w:spacing w:after="0"/>
              <w:rPr>
                <w:sz w:val="24"/>
                <w:szCs w:val="24"/>
                <w:color w:val="auto"/>
              </w:rPr>
            </w:pPr>
          </w:p>
        </w:tc>
        <w:tc>
          <w:tcPr>
            <w:tcW w:w="3460" w:type="dxa"/>
            <w:vAlign w:val="bottom"/>
            <w:gridSpan w:val="11"/>
          </w:tcPr>
          <w:p>
            <w:pPr>
              <w:jc w:val="cente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17"/>
                <w:szCs w:val="17"/>
                <w:color w:val="auto"/>
              </w:rPr>
              <w:t>VP Commercial Program Management</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5</w:t>
      </w:r>
    </w:p>
    <w:p>
      <w:pPr>
        <w:sectPr>
          <w:pgSz w:w="11900" w:h="16838" w:orient="portrait"/>
          <w:cols w:equalWidth="0" w:num="1">
            <w:col w:w="11240"/>
          </w:cols>
          <w:pgMar w:left="320" w:top="59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12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4"/>
        <w:spacing w:after="0" w:line="282" w:lineRule="auto"/>
        <w:tabs>
          <w:tab w:leader="none" w:pos="12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Vandana Sriram,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12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4"/>
        <w:spacing w:after="0" w:line="282"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4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Vandana Sriram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14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June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338" w:lineRule="exact"/>
        <w:rPr>
          <w:sz w:val="20"/>
          <w:szCs w:val="20"/>
          <w:color w:val="auto"/>
        </w:rPr>
      </w:pPr>
    </w:p>
    <w:p>
      <w:pPr>
        <w:ind w:left="680"/>
        <w:spacing w:after="0"/>
        <w:tabs>
          <w:tab w:leader="none" w:pos="5620" w:val="left"/>
        </w:tabs>
        <w:rPr>
          <w:sz w:val="20"/>
          <w:szCs w:val="20"/>
          <w:color w:val="auto"/>
        </w:rPr>
      </w:pPr>
      <w:r>
        <w:rPr>
          <w:rFonts w:ascii="Times New Roman" w:cs="Times New Roman" w:eastAsia="Times New Roman" w:hAnsi="Times New Roman"/>
          <w:sz w:val="18"/>
          <w:szCs w:val="18"/>
          <w:color w:val="auto"/>
        </w:rPr>
        <w:t>Dated: August 7, 2025</w:t>
      </w:r>
      <w:r>
        <w:rPr>
          <w:sz w:val="20"/>
          <w:szCs w:val="20"/>
          <w:color w:val="auto"/>
        </w:rPr>
        <w:tab/>
      </w:r>
      <w:r>
        <w:rPr>
          <w:rFonts w:ascii="Times New Roman" w:cs="Times New Roman" w:eastAsia="Times New Roman" w:hAnsi="Times New Roman"/>
          <w:sz w:val="17"/>
          <w:szCs w:val="17"/>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74" w:lineRule="exact"/>
        <w:rPr>
          <w:sz w:val="20"/>
          <w:szCs w:val="20"/>
          <w:color w:val="auto"/>
        </w:rPr>
      </w:pPr>
    </w:p>
    <w:p>
      <w:pPr>
        <w:ind w:left="680"/>
        <w:spacing w:after="0"/>
        <w:tabs>
          <w:tab w:leader="none" w:pos="5620" w:val="left"/>
        </w:tabs>
        <w:rPr>
          <w:sz w:val="20"/>
          <w:szCs w:val="20"/>
          <w:color w:val="auto"/>
        </w:rPr>
      </w:pPr>
      <w:r>
        <w:rPr>
          <w:rFonts w:ascii="Times New Roman" w:cs="Times New Roman" w:eastAsia="Times New Roman" w:hAnsi="Times New Roman"/>
          <w:sz w:val="18"/>
          <w:szCs w:val="18"/>
          <w:color w:val="auto"/>
        </w:rPr>
        <w:t>Dated: August 7, 2025</w:t>
      </w:r>
      <w:r>
        <w:rPr>
          <w:sz w:val="20"/>
          <w:szCs w:val="20"/>
          <w:color w:val="auto"/>
        </w:rPr>
        <w:tab/>
      </w:r>
      <w:r>
        <w:rPr>
          <w:rFonts w:ascii="Times New Roman" w:cs="Times New Roman" w:eastAsia="Times New Roman" w:hAnsi="Times New Roman"/>
          <w:sz w:val="17"/>
          <w:szCs w:val="17"/>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Vandana Sriram</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endash "/>
      <w:numFmt w:val="bullet"/>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upp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63" Type="http://schemas.openxmlformats.org/officeDocument/2006/relationships/hyperlink" Target="https://www.sec.gov/Archives/edgar/data/1503274/000110465925040749/tm2513227d1_ex2-1.htm" TargetMode="External"/><Relationship Id="rId64" Type="http://schemas.openxmlformats.org/officeDocument/2006/relationships/hyperlink" Target="https://www.sec.gov/Archives/edgar/data/1503274/000110465917073618/a17-28479_1ex3d1.htm#Exhibit3_1.htm" TargetMode="External"/><Relationship Id="rId65" Type="http://schemas.openxmlformats.org/officeDocument/2006/relationships/hyperlink" Target="https://www.sec.gov/Archives/edgar/data/1503274/000150327425000089/ex31-restatedbylawseffecti.htm" TargetMode="External"/><Relationship Id="rId66" Type="http://schemas.openxmlformats.org/officeDocument/2006/relationships/hyperlink" Target="https://www.sec.gov/Archives/edgar/data/1503274/000110465925040758/tm2513227d1_ex10-1.htm" TargetMode="External"/><Relationship Id="rId67" Type="http://schemas.openxmlformats.org/officeDocument/2006/relationships/hyperlink" Target="https://www.sec.gov/Archives/edgar/data/1503274/000150327425000002/qtrx-20250110x8kxexx101.htm" TargetMode="External"/><Relationship Id="rId68" Type="http://schemas.openxmlformats.org/officeDocument/2006/relationships/hyperlink" Target="https://www.sec.gov/Archives/edgar/data/1503274/000150327425000042/ex101-securitiespurchaseag.htm" TargetMode="External"/><Relationship Id="rId69" Type="http://schemas.openxmlformats.org/officeDocument/2006/relationships/hyperlink" Target="https://www.sec.gov/Archives/edgar/data/1503274/000150327425000042/ex102-formofnoteqtrx040220.htm" TargetMode="External"/><Relationship Id="rId70" Type="http://schemas.openxmlformats.org/officeDocument/2006/relationships/hyperlink" Target="https://www.sec.gov/Archives/edgar/data/1503274/000150327425000042/ex103-formofregistrationri.htm" TargetMode="External"/><Relationship Id="rId71" Type="http://schemas.openxmlformats.org/officeDocument/2006/relationships/hyperlink" Target="https://www.sec.gov/Archives/edgar/data/1503274/000150327425000042/ex104-formofsubordinationa.htm" TargetMode="External"/><Relationship Id="rId72" Type="http://schemas.openxmlformats.org/officeDocument/2006/relationships/hyperlink" Target="https://www.sec.gov/Archives/edgar/data/1503274/000110465925040749/tm251322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2025-08-07T16:30:23Z</dcterms:created>
  <dcterms:modified xsi:type="dcterms:W3CDTF">2025-08-07T16:30:23Z</dcterms:modified>
</cp:coreProperties>
</file>