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544" w:right="239" w:bottom="0" w:gutter="0" w:footer="0" w:header="0"/>
        </w:sectPr>
      </w:pPr>
    </w:p>
    <w:p>
      <w:pPr>
        <w:spacing w:after="0" w:line="172"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60" w:space="720"/>
            <w:col w:w="600" w:space="720"/>
            <w:col w:w="3320"/>
          </w:cols>
          <w:pgMar w:left="240" w:top="544"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QUANTERIX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20-8957988</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113 Hartwell Avenue</w:t>
            </w:r>
          </w:p>
        </w:tc>
        <w:tc>
          <w:tcPr>
            <w:tcW w:w="3680" w:type="dxa"/>
            <w:vAlign w:val="bottom"/>
          </w:tcPr>
          <w:p>
            <w:pPr>
              <w:spacing w:after="0"/>
              <w:rPr>
                <w:sz w:val="24"/>
                <w:szCs w:val="24"/>
                <w:color w:val="auto"/>
              </w:rPr>
            </w:pPr>
          </w:p>
        </w:tc>
      </w:t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5"/>
              </w:rPr>
              <w:t>Lexington, MA</w:t>
            </w:r>
          </w:p>
        </w:tc>
        <w:tc>
          <w:tcPr>
            <w:tcW w:w="3680" w:type="dxa"/>
            <w:vAlign w:val="bottom"/>
          </w:tcPr>
          <w:p>
            <w:pPr>
              <w:jc w:val="right"/>
              <w:ind w:right="930"/>
              <w:spacing w:after="0"/>
              <w:rPr>
                <w:sz w:val="20"/>
                <w:szCs w:val="20"/>
                <w:color w:val="auto"/>
              </w:rPr>
            </w:pPr>
            <w:r>
              <w:rPr>
                <w:rFonts w:ascii="Arial" w:cs="Arial" w:eastAsia="Arial" w:hAnsi="Arial"/>
                <w:sz w:val="18"/>
                <w:szCs w:val="18"/>
                <w:b w:val="1"/>
                <w:bCs w:val="1"/>
                <w:color w:val="auto"/>
              </w:rPr>
              <w:t>02421</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40" w:firstLine="51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 w:firstLine="51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ind w:right="180" w:firstLine="51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360"/>
              <w:spacing w:after="0"/>
              <w:rPr>
                <w:sz w:val="20"/>
                <w:szCs w:val="20"/>
                <w:color w:val="auto"/>
              </w:rPr>
            </w:pPr>
            <w:r>
              <w:rPr>
                <w:rFonts w:ascii="Arial" w:cs="Arial" w:eastAsia="Arial" w:hAnsi="Arial"/>
                <w:sz w:val="18"/>
                <w:szCs w:val="18"/>
                <w:color w:val="auto"/>
              </w:rPr>
              <w:t>o</w:t>
            </w:r>
          </w:p>
        </w:tc>
        <w:tc>
          <w:tcPr>
            <w:tcW w:w="54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840"/>
              <w:spacing w:after="0"/>
              <w:rPr>
                <w:sz w:val="20"/>
                <w:szCs w:val="20"/>
                <w:color w:val="auto"/>
              </w:rPr>
            </w:pPr>
            <w:r>
              <w:rPr>
                <w:rFonts w:ascii="Arial" w:cs="Arial" w:eastAsia="Arial" w:hAnsi="Arial"/>
                <w:sz w:val="17"/>
                <w:szCs w:val="17"/>
                <w:color w:val="auto"/>
                <w:w w:val="70"/>
              </w:rPr>
              <w:t>x</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360"/>
              <w:spacing w:after="0"/>
              <w:rPr>
                <w:sz w:val="20"/>
                <w:szCs w:val="20"/>
                <w:color w:val="auto"/>
              </w:rPr>
            </w:pPr>
            <w:r>
              <w:rPr>
                <w:rFonts w:ascii="Arial" w:cs="Arial" w:eastAsia="Arial" w:hAnsi="Arial"/>
                <w:sz w:val="18"/>
                <w:szCs w:val="18"/>
                <w:color w:val="auto"/>
              </w:rPr>
              <w:t>o</w:t>
            </w:r>
          </w:p>
        </w:tc>
        <w:tc>
          <w:tcPr>
            <w:tcW w:w="54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840"/>
              <w:spacing w:after="0"/>
              <w:rPr>
                <w:sz w:val="20"/>
                <w:szCs w:val="20"/>
                <w:color w:val="auto"/>
              </w:rPr>
            </w:pPr>
            <w:r>
              <w:rPr>
                <w:rFonts w:ascii="Arial" w:cs="Arial" w:eastAsia="Arial" w:hAnsi="Arial"/>
                <w:sz w:val="17"/>
                <w:szCs w:val="17"/>
                <w:color w:val="auto"/>
                <w:w w:val="70"/>
              </w:rPr>
              <w:t>x</w:t>
            </w:r>
          </w:p>
        </w:tc>
      </w:tr>
      <w:tr>
        <w:trPr>
          <w:trHeight w:val="230"/>
        </w:trPr>
        <w:tc>
          <w:tcPr>
            <w:tcW w:w="2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42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84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tabs>
          <w:tab w:leader="none" w:pos="88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w:t>
      </w:r>
      <w:r>
        <w:rPr>
          <w:sz w:val="20"/>
          <w:szCs w:val="20"/>
          <w:color w:val="auto"/>
        </w:rPr>
        <w:tab/>
      </w:r>
      <w:r>
        <w:rPr>
          <w:rFonts w:ascii="Arial" w:cs="Arial" w:eastAsia="Arial" w:hAnsi="Arial"/>
          <w:sz w:val="16"/>
          <w:szCs w:val="16"/>
          <w:color w:val="auto"/>
        </w:rPr>
        <w:t>x No</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Title of each class:</w:t>
            </w:r>
          </w:p>
        </w:tc>
        <w:tc>
          <w:tcPr>
            <w:tcW w:w="3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QTRX</w:t>
            </w:r>
          </w:p>
        </w:tc>
        <w:tc>
          <w:tcPr>
            <w:tcW w:w="20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May 8, 2019, the registrant had 22,596,122 shares of common stock, $0.001 par value per share, outstanding.</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507365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426"/>
        </w:trPr>
        <w:tc>
          <w:tcPr>
            <w:tcW w:w="10400" w:type="dxa"/>
            <w:vAlign w:val="bottom"/>
          </w:tcPr>
          <w:p>
            <w:pPr>
              <w:ind w:left="3580"/>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Pr>
          <w:p>
            <w:pPr>
              <w:spacing w:after="0"/>
              <w:rPr>
                <w:sz w:val="24"/>
                <w:szCs w:val="24"/>
                <w:color w:val="auto"/>
              </w:rPr>
            </w:pP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0400" w:type="dxa"/>
            <w:vAlign w:val="bottom"/>
          </w:tcPr>
          <w:p>
            <w:pPr>
              <w:spacing w:after="0"/>
              <w:rPr>
                <w:sz w:val="20"/>
                <w:szCs w:val="20"/>
                <w:color w:val="auto"/>
              </w:rPr>
            </w:pPr>
            <w:r>
              <w:rPr>
                <w:rFonts w:ascii="Arial" w:cs="Arial" w:eastAsia="Arial" w:hAnsi="Arial"/>
                <w:sz w:val="18"/>
                <w:szCs w:val="18"/>
                <w:color w:val="auto"/>
              </w:rPr>
              <w:t>Item 1.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0" w:type="dxa"/>
            <w:vAlign w:val="bottom"/>
          </w:tcPr>
          <w:p>
            <w:pPr>
              <w:ind w:left="360"/>
              <w:spacing w:after="0"/>
              <w:rPr>
                <w:sz w:val="20"/>
                <w:szCs w:val="20"/>
                <w:color w:val="auto"/>
              </w:rPr>
            </w:pPr>
            <w:r>
              <w:rPr>
                <w:rFonts w:ascii="Arial" w:cs="Arial" w:eastAsia="Arial" w:hAnsi="Arial"/>
                <w:sz w:val="18"/>
                <w:szCs w:val="18"/>
                <w:color w:val="auto"/>
              </w:rPr>
              <w:t>Unaudited Condensed Consolidated Balance Sheets at March 31, 2019 and December 31, 2018</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00" w:type="dxa"/>
            <w:vAlign w:val="bottom"/>
          </w:tcPr>
          <w:p>
            <w:pPr>
              <w:ind w:left="360"/>
              <w:spacing w:after="0"/>
              <w:rPr>
                <w:sz w:val="20"/>
                <w:szCs w:val="20"/>
                <w:color w:val="auto"/>
              </w:rPr>
            </w:pPr>
            <w:r>
              <w:rPr>
                <w:rFonts w:ascii="Arial" w:cs="Arial" w:eastAsia="Arial" w:hAnsi="Arial"/>
                <w:sz w:val="18"/>
                <w:szCs w:val="18"/>
                <w:color w:val="auto"/>
                <w:w w:val="90"/>
              </w:rPr>
              <w:t>Unaudited Condensed Consolidated Statements of Operations and Comprehensive Loss for the Three Months Ended March 31, 2019 and</w:t>
            </w:r>
          </w:p>
        </w:tc>
        <w:tc>
          <w:tcPr>
            <w:tcW w:w="1020" w:type="dxa"/>
            <w:vAlign w:val="bottom"/>
          </w:tcPr>
          <w:p>
            <w:pPr>
              <w:spacing w:after="0"/>
              <w:rPr>
                <w:sz w:val="18"/>
                <w:szCs w:val="18"/>
                <w:color w:val="auto"/>
              </w:rPr>
            </w:pPr>
          </w:p>
        </w:tc>
      </w:tr>
      <w:tr>
        <w:trPr>
          <w:trHeight w:val="216"/>
        </w:trPr>
        <w:tc>
          <w:tcPr>
            <w:tcW w:w="10400" w:type="dxa"/>
            <w:vAlign w:val="bottom"/>
          </w:tcPr>
          <w:p>
            <w:pPr>
              <w:ind w:left="54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00" w:type="dxa"/>
            <w:vAlign w:val="bottom"/>
          </w:tcPr>
          <w:p>
            <w:pPr>
              <w:ind w:left="360"/>
              <w:spacing w:after="0"/>
              <w:rPr>
                <w:sz w:val="20"/>
                <w:szCs w:val="20"/>
                <w:color w:val="auto"/>
              </w:rPr>
            </w:pPr>
            <w:r>
              <w:rPr>
                <w:rFonts w:ascii="Arial" w:cs="Arial" w:eastAsia="Arial" w:hAnsi="Arial"/>
                <w:sz w:val="18"/>
                <w:szCs w:val="18"/>
                <w:color w:val="auto"/>
              </w:rPr>
              <w:t>Unaudited Condensed Consolidated Statements of Cash Flows for the Three Months Ended March 31, 2019 and 2018</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0" w:type="dxa"/>
            <w:vAlign w:val="bottom"/>
          </w:tcPr>
          <w:p>
            <w:pPr>
              <w:ind w:left="360"/>
              <w:spacing w:after="0"/>
              <w:rPr>
                <w:sz w:val="20"/>
                <w:szCs w:val="20"/>
                <w:color w:val="auto"/>
              </w:rPr>
            </w:pPr>
            <w:r>
              <w:rPr>
                <w:rFonts w:ascii="Arial" w:cs="Arial" w:eastAsia="Arial" w:hAnsi="Arial"/>
                <w:sz w:val="18"/>
                <w:szCs w:val="18"/>
                <w:color w:val="auto"/>
              </w:rPr>
              <w:t>Unaudited Consolidated Statements of Stockholders’ Equity for the Three Months Ended March 31, 2019 and 2018</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400" w:type="dxa"/>
            <w:vAlign w:val="bottom"/>
          </w:tcPr>
          <w:p>
            <w:pPr>
              <w:ind w:left="360"/>
              <w:spacing w:after="0"/>
              <w:rPr>
                <w:sz w:val="20"/>
                <w:szCs w:val="20"/>
                <w:color w:val="auto"/>
              </w:rPr>
            </w:pPr>
            <w:r>
              <w:rPr>
                <w:rFonts w:ascii="Arial" w:cs="Arial" w:eastAsia="Arial" w:hAnsi="Arial"/>
                <w:sz w:val="18"/>
                <w:szCs w:val="18"/>
                <w:color w:val="auto"/>
              </w:rPr>
              <w:t>Notes to Unaudited Condensed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4. Controls and Procedures</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400" w:type="dxa"/>
            <w:vAlign w:val="bottom"/>
          </w:tcPr>
          <w:p>
            <w:pPr>
              <w:ind w:left="3720"/>
              <w:spacing w:after="0"/>
              <w:rPr>
                <w:sz w:val="20"/>
                <w:szCs w:val="20"/>
                <w:color w:val="auto"/>
              </w:rPr>
            </w:pPr>
            <w:r>
              <w:rPr>
                <w:rFonts w:ascii="Arial" w:cs="Arial" w:eastAsia="Arial" w:hAnsi="Arial"/>
                <w:sz w:val="18"/>
                <w:szCs w:val="18"/>
                <w:b w:val="1"/>
                <w:bCs w:val="1"/>
                <w:color w:val="auto"/>
              </w:rPr>
              <w:t>PART II — OTHER INFORMATION</w:t>
            </w:r>
          </w:p>
        </w:tc>
        <w:tc>
          <w:tcPr>
            <w:tcW w:w="1020" w:type="dxa"/>
            <w:vAlign w:val="bottom"/>
          </w:tcPr>
          <w:p>
            <w:pPr>
              <w:spacing w:after="0"/>
              <w:rPr>
                <w:sz w:val="24"/>
                <w:szCs w:val="24"/>
                <w:color w:val="auto"/>
              </w:rPr>
            </w:pP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1. Legal Proceedings</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1A. Risk Factors</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3. Defaults Upon Senior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4. Mine Safety Disclosures</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5. Other Information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Item 6. Exhibits</w:t>
            </w: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Signatures</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0400" w:type="dxa"/>
            <w:vAlign w:val="bottom"/>
          </w:tcPr>
          <w:p>
            <w:pPr>
              <w:ind w:left="3640"/>
              <w:spacing w:after="0"/>
              <w:rPr>
                <w:sz w:val="20"/>
                <w:szCs w:val="20"/>
                <w:color w:val="auto"/>
              </w:rPr>
            </w:pPr>
            <w:r>
              <w:rPr>
                <w:rFonts w:ascii="Arial" w:cs="Arial" w:eastAsia="Arial" w:hAnsi="Arial"/>
                <w:sz w:val="18"/>
                <w:szCs w:val="18"/>
                <w:b w:val="1"/>
                <w:bCs w:val="1"/>
                <w:color w:val="auto"/>
              </w:rPr>
              <w:t>Special Note Regarding Forward-Looking Statements</w:t>
            </w:r>
          </w:p>
        </w:tc>
        <w:tc>
          <w:tcPr>
            <w:tcW w:w="1020" w:type="dxa"/>
            <w:vAlign w:val="bottom"/>
          </w:tcPr>
          <w:p>
            <w:pPr>
              <w:spacing w:after="0"/>
              <w:rPr>
                <w:sz w:val="24"/>
                <w:szCs w:val="24"/>
                <w:color w:val="auto"/>
              </w:rPr>
            </w:pPr>
          </w:p>
        </w:tc>
      </w:tr>
    </w:tbl>
    <w:p>
      <w:pPr>
        <w:spacing w:after="0" w:line="20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2018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8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Unless the context otherwise requires, the terms “Quanterix,” the “Company,” “we,” “us” and “our” in this Quarterly Report on Form 10-Q refer to Quanterix Corporation and its subsidiaries. “Quanterix,” “Simoa,” “Simoa HD-1,” “SR-X,” “HD-1 Analyzer,” “SP-X”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December 31, 2018</w:t>
            </w:r>
          </w:p>
        </w:tc>
      </w:tr>
      <w:tr>
        <w:trPr>
          <w:trHeight w:val="196"/>
        </w:trPr>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33,972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44,429</w:t>
            </w:r>
          </w:p>
        </w:tc>
        <w:tc>
          <w:tcPr>
            <w:tcW w:w="80" w:type="dxa"/>
            <w:vAlign w:val="bottom"/>
            <w:shd w:val="clear" w:color="auto" w:fill="CCEEFF"/>
          </w:tcPr>
          <w:p>
            <w:pPr>
              <w:spacing w:after="0"/>
              <w:rPr>
                <w:sz w:val="18"/>
                <w:szCs w:val="18"/>
                <w:color w:val="auto"/>
              </w:rPr>
            </w:pPr>
          </w:p>
        </w:tc>
      </w:tr>
      <w:tr>
        <w:trPr>
          <w:trHeight w:val="202"/>
        </w:trPr>
        <w:tc>
          <w:tcPr>
            <w:tcW w:w="7880" w:type="dxa"/>
            <w:vAlign w:val="bottom"/>
          </w:tcPr>
          <w:p>
            <w:pPr>
              <w:ind w:left="180"/>
              <w:spacing w:after="0" w:line="201" w:lineRule="exact"/>
              <w:rPr>
                <w:sz w:val="20"/>
                <w:szCs w:val="20"/>
                <w:color w:val="auto"/>
              </w:rPr>
            </w:pPr>
            <w:r>
              <w:rPr>
                <w:rFonts w:ascii="Arial" w:cs="Arial" w:eastAsia="Arial" w:hAnsi="Arial"/>
                <w:sz w:val="18"/>
                <w:szCs w:val="18"/>
                <w:color w:val="auto"/>
                <w:w w:val="99"/>
              </w:rPr>
              <w:t>Accounts receivable (less reserve for doubtful accounts of $50 and $36 as of March 31, 2019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December 31, 2018; including $23 and $48 from related parties as of March 31, 2019 and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880" w:type="dxa"/>
            <w:vAlign w:val="bottom"/>
          </w:tcPr>
          <w:p>
            <w:pPr>
              <w:ind w:left="360"/>
              <w:spacing w:after="0"/>
              <w:rPr>
                <w:sz w:val="20"/>
                <w:szCs w:val="20"/>
                <w:color w:val="auto"/>
              </w:rPr>
            </w:pPr>
            <w:r>
              <w:rPr>
                <w:rFonts w:ascii="Arial" w:cs="Arial" w:eastAsia="Arial" w:hAnsi="Arial"/>
                <w:sz w:val="18"/>
                <w:szCs w:val="18"/>
                <w:color w:val="auto"/>
              </w:rPr>
              <w:t>December 31, 2018,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7,303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6,792</w:t>
            </w:r>
          </w:p>
        </w:tc>
        <w:tc>
          <w:tcPr>
            <w:tcW w:w="80" w:type="dxa"/>
            <w:vAlign w:val="bottom"/>
          </w:tcPr>
          <w:p>
            <w:pPr>
              <w:spacing w:after="0"/>
              <w:rPr>
                <w:sz w:val="20"/>
                <w:szCs w:val="20"/>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5,945</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2,502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8"/>
                <w:szCs w:val="18"/>
                <w:color w:val="auto"/>
              </w:rPr>
            </w:pPr>
          </w:p>
        </w:tc>
      </w:tr>
      <w:tr>
        <w:trPr>
          <w:trHeight w:val="210"/>
        </w:trPr>
        <w:tc>
          <w:tcPr>
            <w:tcW w:w="78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2,923</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2,198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2,348</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r>
      <w:tr>
        <w:trPr>
          <w:trHeight w:val="210"/>
        </w:trPr>
        <w:tc>
          <w:tcPr>
            <w:tcW w:w="78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788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880" w:type="dxa"/>
            <w:vAlign w:val="bottom"/>
          </w:tcPr>
          <w:p>
            <w:pPr>
              <w:ind w:left="180"/>
              <w:spacing w:after="0" w:line="201" w:lineRule="exact"/>
              <w:rPr>
                <w:sz w:val="20"/>
                <w:szCs w:val="20"/>
                <w:color w:val="auto"/>
              </w:rPr>
            </w:pPr>
            <w:r>
              <w:rPr>
                <w:rFonts w:ascii="Arial" w:cs="Arial" w:eastAsia="Arial" w:hAnsi="Arial"/>
                <w:sz w:val="18"/>
                <w:szCs w:val="18"/>
                <w:color w:val="auto"/>
                <w:w w:val="92"/>
              </w:rPr>
              <w:t>Accounts payable (including $0 and $36 to related parties as of March 31, 2019 and December 31, 2018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88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3,789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5,110</w:t>
            </w:r>
          </w:p>
        </w:tc>
        <w:tc>
          <w:tcPr>
            <w:tcW w:w="80" w:type="dxa"/>
            <w:vAlign w:val="bottom"/>
          </w:tcPr>
          <w:p>
            <w:pPr>
              <w:spacing w:after="0"/>
              <w:rPr>
                <w:sz w:val="20"/>
                <w:szCs w:val="20"/>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4,449</w:t>
            </w:r>
          </w:p>
        </w:tc>
        <w:tc>
          <w:tcPr>
            <w:tcW w:w="80" w:type="dxa"/>
            <w:vAlign w:val="bottom"/>
            <w:shd w:val="clear" w:color="auto" w:fill="CCEEFF"/>
          </w:tcPr>
          <w:p>
            <w:pPr>
              <w:spacing w:after="0"/>
              <w:rPr>
                <w:sz w:val="18"/>
                <w:szCs w:val="18"/>
                <w:color w:val="auto"/>
              </w:rPr>
            </w:pPr>
          </w:p>
        </w:tc>
      </w:tr>
      <w:tr>
        <w:trPr>
          <w:trHeight w:val="202"/>
        </w:trPr>
        <w:tc>
          <w:tcPr>
            <w:tcW w:w="7880" w:type="dxa"/>
            <w:vAlign w:val="bottom"/>
          </w:tcPr>
          <w:p>
            <w:pPr>
              <w:ind w:left="180"/>
              <w:spacing w:after="0" w:line="201" w:lineRule="exact"/>
              <w:rPr>
                <w:sz w:val="20"/>
                <w:szCs w:val="20"/>
                <w:color w:val="auto"/>
              </w:rPr>
            </w:pPr>
            <w:r>
              <w:rPr>
                <w:rFonts w:ascii="Arial" w:cs="Arial" w:eastAsia="Arial" w:hAnsi="Arial"/>
                <w:sz w:val="18"/>
                <w:szCs w:val="18"/>
                <w:color w:val="auto"/>
              </w:rPr>
              <w:t>Other accrued expenses (including $240 and $226 to related parties as of March 31, 2019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880" w:type="dxa"/>
            <w:vAlign w:val="bottom"/>
          </w:tcPr>
          <w:p>
            <w:pPr>
              <w:ind w:left="360"/>
              <w:spacing w:after="0"/>
              <w:rPr>
                <w:sz w:val="20"/>
                <w:szCs w:val="20"/>
                <w:color w:val="auto"/>
              </w:rPr>
            </w:pPr>
            <w:r>
              <w:rPr>
                <w:rFonts w:ascii="Arial" w:cs="Arial" w:eastAsia="Arial" w:hAnsi="Arial"/>
                <w:sz w:val="18"/>
                <w:szCs w:val="18"/>
                <w:color w:val="auto"/>
              </w:rPr>
              <w:t>December 31, 2018,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3,744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20"/>
                <w:szCs w:val="20"/>
                <w:color w:val="auto"/>
              </w:rPr>
            </w:pPr>
          </w:p>
        </w:tc>
      </w:tr>
      <w:tr>
        <w:trPr>
          <w:trHeight w:val="202"/>
        </w:trPr>
        <w:tc>
          <w:tcPr>
            <w:tcW w:w="7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Deferred revenue (including $29 and $33 with related parties as of March 31, 2019 and December 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2018,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c>
          <w:tcPr>
            <w:tcW w:w="80" w:type="dxa"/>
            <w:vAlign w:val="bottom"/>
            <w:shd w:val="clear" w:color="auto" w:fill="CCEEFF"/>
          </w:tcPr>
          <w:p>
            <w:pPr>
              <w:spacing w:after="0"/>
              <w:rPr>
                <w:sz w:val="20"/>
                <w:szCs w:val="20"/>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Current portion of long 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8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Long term debt, net of current portion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7,572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7,623</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r>
      <w:tr>
        <w:trPr>
          <w:trHeight w:val="210"/>
        </w:trPr>
        <w:tc>
          <w:tcPr>
            <w:tcW w:w="78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$0.001 par value: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880" w:type="dxa"/>
            <w:vAlign w:val="bottom"/>
          </w:tcPr>
          <w:p>
            <w:pPr>
              <w:ind w:left="360"/>
              <w:spacing w:after="0" w:line="201" w:lineRule="exact"/>
              <w:rPr>
                <w:sz w:val="20"/>
                <w:szCs w:val="20"/>
                <w:color w:val="auto"/>
              </w:rPr>
            </w:pPr>
            <w:r>
              <w:rPr>
                <w:rFonts w:ascii="Arial" w:cs="Arial" w:eastAsia="Arial" w:hAnsi="Arial"/>
                <w:sz w:val="18"/>
                <w:szCs w:val="18"/>
                <w:color w:val="auto"/>
              </w:rPr>
              <w:t>Authorized—120,000,000 shares as of March 31, 2019 and December 31, 2018; issued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880" w:type="dxa"/>
            <w:vAlign w:val="bottom"/>
          </w:tcPr>
          <w:p>
            <w:pPr>
              <w:ind w:left="540"/>
              <w:spacing w:after="0"/>
              <w:rPr>
                <w:sz w:val="20"/>
                <w:szCs w:val="20"/>
                <w:color w:val="auto"/>
              </w:rPr>
            </w:pPr>
            <w:r>
              <w:rPr>
                <w:rFonts w:ascii="Arial" w:cs="Arial" w:eastAsia="Arial" w:hAnsi="Arial"/>
                <w:sz w:val="18"/>
                <w:szCs w:val="18"/>
                <w:color w:val="auto"/>
                <w:w w:val="95"/>
              </w:rPr>
              <w:t>outstanding—22,491,447 and 22,369,036 shares as of March 31, 2019 and December 31, 2018,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8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219,045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216,931</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(184,853)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(175,888)</w:t>
            </w: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14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2"/>
              </w:rPr>
              <w:t>Product revenue (including related party activity of $80 and $93 for the three months ended March 31, 2019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2018, respectively)</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02"/>
        </w:trPr>
        <w:tc>
          <w:tcPr>
            <w:tcW w:w="8140" w:type="dxa"/>
            <w:vAlign w:val="bottom"/>
          </w:tcPr>
          <w:p>
            <w:pPr>
              <w:ind w:left="180"/>
              <w:spacing w:after="0" w:line="201" w:lineRule="exact"/>
              <w:rPr>
                <w:sz w:val="20"/>
                <w:szCs w:val="20"/>
                <w:color w:val="auto"/>
              </w:rPr>
            </w:pPr>
            <w:r>
              <w:rPr>
                <w:rFonts w:ascii="Arial" w:cs="Arial" w:eastAsia="Arial" w:hAnsi="Arial"/>
                <w:sz w:val="18"/>
                <w:szCs w:val="18"/>
                <w:color w:val="auto"/>
                <w:w w:val="98"/>
              </w:rPr>
              <w:t>Service and other revenue (including related party activity of $23 and $39 for the three months ended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March 31, 2019 and 2018,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2,790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Collaboration and license revenue (including related party activity of $0 and $269 for the three months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ended March 31, 2019 and 2018, respectively)</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81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goods sold: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w w:val="98"/>
              </w:rPr>
              <w:t>Cost of product revenue (including related party activity of $35 and $76 for the three months ended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40"/>
              <w:spacing w:after="0"/>
              <w:rPr>
                <w:sz w:val="20"/>
                <w:szCs w:val="20"/>
                <w:color w:val="auto"/>
              </w:rPr>
            </w:pPr>
            <w:r>
              <w:rPr>
                <w:rFonts w:ascii="Arial" w:cs="Arial" w:eastAsia="Arial" w:hAnsi="Arial"/>
                <w:sz w:val="18"/>
                <w:szCs w:val="18"/>
                <w:color w:val="auto"/>
                <w:w w:val="96"/>
              </w:rPr>
              <w:t>March 31, 2019 and 2018, respectively; including stock compensation of $17 and $10 for the three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540"/>
              <w:spacing w:after="0"/>
              <w:rPr>
                <w:sz w:val="20"/>
                <w:szCs w:val="20"/>
                <w:color w:val="auto"/>
              </w:rPr>
            </w:pPr>
            <w:r>
              <w:rPr>
                <w:rFonts w:ascii="Arial" w:cs="Arial" w:eastAsia="Arial" w:hAnsi="Arial"/>
                <w:sz w:val="18"/>
                <w:szCs w:val="18"/>
                <w:color w:val="auto"/>
              </w:rPr>
              <w:t>months ended March 31, 2019 and 2018,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4,248</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Cost of services and other revenue (including stock compensation of $60 and $32 for the three months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ended March 31, 2019 and 2018 respectively)</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140" w:type="dxa"/>
            <w:vAlign w:val="bottom"/>
          </w:tcPr>
          <w:p>
            <w:pPr>
              <w:spacing w:after="0" w:line="196" w:lineRule="exact"/>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Research and development (including stock compensation of $168 and $71 for the three months ended</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March 31, 2019 and 2018, respectively)</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w w:val="99"/>
              </w:rPr>
              <w:t>Selling, general and administrative (including stock compensation of $1,039 and $523 for the three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540"/>
              <w:spacing w:after="0"/>
              <w:rPr>
                <w:sz w:val="20"/>
                <w:szCs w:val="20"/>
                <w:color w:val="auto"/>
              </w:rPr>
            </w:pPr>
            <w:r>
              <w:rPr>
                <w:rFonts w:ascii="Arial" w:cs="Arial" w:eastAsia="Arial" w:hAnsi="Arial"/>
                <w:sz w:val="18"/>
                <w:szCs w:val="18"/>
                <w:color w:val="auto"/>
              </w:rPr>
              <w:t>months ended March 31, 2019 and 2018,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11,512</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18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28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 basic and diluted</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22,422,960</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21,788,605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5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 other accrued expenses and other current liabilities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Contract acquisition costs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6,082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(3,001)</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50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preferred stock, net of issuance costs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ESPP purchase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Payments on notes payable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(used in) by financing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cash, and cash equivalents at beginning of period</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79,682</w:t>
            </w:r>
          </w:p>
        </w:tc>
      </w:tr>
      <w:tr>
        <w:trPr>
          <w:trHeight w:val="210"/>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restricted cash, and cash equivalents at end of period</w:t>
            </w:r>
          </w:p>
        </w:tc>
        <w:tc>
          <w:tcPr>
            <w:tcW w:w="8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65,231</w:t>
            </w:r>
          </w:p>
        </w:tc>
        <w:tc>
          <w:tcPr>
            <w:tcW w:w="100" w:type="dxa"/>
            <w:vAlign w:val="bottom"/>
            <w:tcBorders>
              <w:bottom w:val="single" w:sz="8" w:color="CCEEFF"/>
            </w:tcBorders>
          </w:tcPr>
          <w:p>
            <w:pPr>
              <w:spacing w:after="0"/>
              <w:rPr>
                <w:sz w:val="18"/>
                <w:szCs w:val="18"/>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Restricted cash</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Common stock 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 value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Additional paid-in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Accumulated deficit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Total stockholders’</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Balance at December 31, 2018</w:t>
            </w:r>
          </w:p>
        </w:tc>
        <w:tc>
          <w:tcPr>
            <w:tcW w:w="1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22,369,036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216,931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(175,888)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Cumulative-effect adjustment</w:t>
            </w: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for the adoption of ASC 606</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common stock</w:t>
            </w: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and vesting of</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102,361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ESPP stock purchase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20,050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(9,405)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23"/>
        </w:trPr>
        <w:tc>
          <w:tcPr>
            <w:tcW w:w="2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22,491,447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219,045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(184,853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Common stock shares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 stock value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Additional paid-in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 deficit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Total stockholders’</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Balance at December 31, 2017</w:t>
            </w:r>
          </w:p>
        </w:tc>
        <w:tc>
          <w:tcPr>
            <w:tcW w:w="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21,707,041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b w:val="1"/>
                <w:bCs w:val="1"/>
                <w:color w:val="auto"/>
                <w:w w:val="79"/>
              </w:rPr>
              <w:t>22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210,196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(144,352)</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Exercise of common stock</w:t>
            </w: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16,718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common stock</w:t>
            </w: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and vesting of</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issuance offering</w:t>
            </w: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costs</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(7,202)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21,823,282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Arial" w:cs="Arial" w:eastAsia="Arial" w:hAnsi="Arial"/>
                <w:sz w:val="18"/>
                <w:szCs w:val="18"/>
                <w:b w:val="1"/>
                <w:bCs w:val="1"/>
                <w:color w:val="auto"/>
                <w:w w:val="79"/>
              </w:rPr>
              <w:t>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210,863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(151,554)</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our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but is also developing its bead-based technology to detect nucleic acids in biological samples.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currently markets the Simoa HD-1,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Analyzer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This compact instrument has the ability to reach a 10 plex and has custom assay capability. The Company also performs research services on behalf of customers to apply the Simoa technology to specific customer needs. The Company’s primary customers are in the research use only market, which includes academic and governmental research institutions, the research and development laboratories of pharmaceutical manufacturers, contract research organizations, and specialty research laboratories.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believes that its existing unrestricted cash and cash equivalents of approximately $34.0 million at March 31, 2019 will be sufficient to allow the Company to fund its current operating plan through at least twelve months from the filing of the Company’s Quarterly Report on Form 10-Q for the quarterly period ended March 31, 2019. The Company may require additional financing in the future to fund working capital and pay its obligations as they come due. Additional financing might include issuance of equity securities, debt, cash from collaboration agreements or a combination of these. However, there can be no assurance that the Company will be successful in acquiring additional funding at levels sufficient to fund its operations or on terms favorable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December 2017, the Company completed its initial public offering (IPO) in which the Company sold 4,916,480 shares of its common stock at the initial public offering price of $15.00 per share. The Company’s common stock began trading on The Nasdaq Global Market on December 7, 2017. The aggregate net proceeds received from the IPO, net of underwriting discounts and commissions and offering expenses, was $65.6 million. Immediately prior to the completion of the IPO, all then outstanding shares of convertible preferred stock were converted into 14,185,744 shares of common stock. The related carrying value of shares of preferred stock and warrants in the aggregate amount of $143.3 million was reclassified as common stock and additional paid-in capital. Additionally, the Company filed an amended and restated certificate of incorporation with the Secretary of State of the State of Delaware, effective December 11, 2017 to, among other things, change the authorized number of shares of common stock to 120,000,000 and the authorized number of shares of preferred stock to 5,000,000.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interim condensed consolidated financial statements are unaudited. The unaudited condensed consolidated financial statements reflect, in the opinion of our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our Annual Report on Form 10-K for the year ended December 31, 2018 filed with the Securities and Exchange Commission on March 18, 2019 (the 2018 Annual Report on Form 10-K). The consolidated financial information as of December 31, 2018 has been derived from the audited 2018 consolidated financial statements included in our 2018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December 4, 2017, the Company effected a reverse stock split of its common stock at a ratio of 1-for-3.214. The shares of common stock subject to then outstanding stock options were adjusted accordingly to reflect the reverse stock split. All common stock and related per share amounts presented in these financial statements and related notes have been retroactively adjusted to reflect the 1-for-3.214 reverse stock split.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The condensed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and notes receivable, fair value of assets acquired and liabilities assumed in acquisitions, valuation allowances recorded against deferred tax assets, and stock-based compensation. Actual results could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Restricted cash primarily represents collateral for a letter of credit issued as security for the lease for the Company’s new headquarters. The restricted cash is long term in nature as the Company will not have access to the funds until more than one year from March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9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On January 1, 2019, the Company adopted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method. Under ASC 606, revenue is recognized upon the transfer of control of goods or services to customers and reflects the amount of consideration to which an entity expects to be entitled in exchange for those goods or services. The adoption of ASC 606 has been applied to customer contracts that were not completed as of January 1, 2019, and did not materially change the pattern of revenue recognition for its current customer contracts.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Company’s consolidated financial statements for the prior-year period have not been revised and are reflective of the revenue recognition requirements which were in effect for that period.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recorded a decrease to the accumulated deficit of $0.4 million as of January 1, 2019 for the cumulative effect primarily related to the deferral of sales commissions.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accordance with the reporting requirements of ASC 606, the disclosure of the impact on the Company’s consolidated balance sheet and statement of operations, as a result of adopting the provisions of ASC 606,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Prior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Adjusted under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vMerge w:val="restart"/>
          </w:tcPr>
          <w:p>
            <w:pPr>
              <w:jc w:val="right"/>
              <w:ind w:right="348"/>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reported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December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ASC 606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right"/>
              <w:ind w:right="388"/>
              <w:spacing w:after="0" w:line="149"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1160" w:type="dxa"/>
            <w:vAlign w:val="bottom"/>
            <w:gridSpan w:val="4"/>
            <w:vMerge w:val="restart"/>
          </w:tcPr>
          <w:p>
            <w:pPr>
              <w:jc w:val="right"/>
              <w:ind w:right="250"/>
              <w:spacing w:after="0"/>
              <w:rPr>
                <w:sz w:val="20"/>
                <w:szCs w:val="20"/>
                <w:color w:val="auto"/>
              </w:rPr>
            </w:pPr>
            <w:r>
              <w:rPr>
                <w:rFonts w:ascii="Arial" w:cs="Arial" w:eastAsia="Arial" w:hAnsi="Arial"/>
                <w:sz w:val="14"/>
                <w:szCs w:val="14"/>
                <w:b w:val="1"/>
                <w:bCs w:val="1"/>
                <w:color w:val="auto"/>
                <w:w w:val="94"/>
              </w:rPr>
              <w:t>Adjustments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31, 2018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January 1, 2019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6,792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6,839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28"/>
              <w:spacing w:after="0"/>
              <w:rPr>
                <w:sz w:val="20"/>
                <w:szCs w:val="20"/>
                <w:color w:val="auto"/>
              </w:rPr>
            </w:pPr>
            <w:r>
              <w:rPr>
                <w:rFonts w:ascii="Arial" w:cs="Arial" w:eastAsia="Arial" w:hAnsi="Arial"/>
                <w:sz w:val="18"/>
                <w:szCs w:val="18"/>
                <w:color w:val="auto"/>
                <w:w w:val="88"/>
              </w:rPr>
              <w:t>7,303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0"/>
              <w:spacing w:after="0"/>
              <w:rPr>
                <w:sz w:val="20"/>
                <w:szCs w:val="20"/>
                <w:color w:val="auto"/>
              </w:rPr>
            </w:pPr>
            <w:r>
              <w:rPr>
                <w:rFonts w:ascii="Arial" w:cs="Arial" w:eastAsia="Arial" w:hAnsi="Arial"/>
                <w:sz w:val="18"/>
                <w:szCs w:val="18"/>
                <w:color w:val="auto"/>
              </w:rPr>
              <w:t>(47)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 expenses and other current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88"/>
              </w:rPr>
              <w:t>2,502</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26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28"/>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88"/>
              </w:rPr>
              <w:t>5,484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9"/>
              </w:rPr>
              <w:t>Deferred revenue, net of current portion</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28"/>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(175,888)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(176,328)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color w:val="auto"/>
              </w:rPr>
              <w:t>(184,853)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14"/>
          </w:tcPr>
          <w:p>
            <w:pPr>
              <w:jc w:val="center"/>
              <w:ind w:right="1040"/>
              <w:spacing w:after="0"/>
              <w:rPr>
                <w:sz w:val="20"/>
                <w:szCs w:val="20"/>
                <w:color w:val="auto"/>
              </w:rPr>
            </w:pPr>
            <w:r>
              <w:rPr>
                <w:rFonts w:ascii="Arial" w:cs="Arial" w:eastAsia="Arial" w:hAnsi="Arial"/>
                <w:sz w:val="14"/>
                <w:szCs w:val="14"/>
                <w:b w:val="1"/>
                <w:bCs w:val="1"/>
                <w:color w:val="auto"/>
                <w:w w:val="92"/>
              </w:rPr>
              <w:t>For the three months ended March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60" w:type="dxa"/>
            <w:vAlign w:val="bottom"/>
            <w:tcBorders>
              <w:top w:val="single" w:sz="8" w:color="auto"/>
            </w:tcBorders>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Under ASC 606</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w w:val="99"/>
              </w:rPr>
              <w:t>Under ASC</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497"/>
              <w:spacing w:after="0"/>
              <w:rPr>
                <w:sz w:val="20"/>
                <w:szCs w:val="20"/>
                <w:color w:val="auto"/>
              </w:rPr>
            </w:pPr>
            <w:r>
              <w:rPr>
                <w:rFonts w:ascii="Arial" w:cs="Arial" w:eastAsia="Arial" w:hAnsi="Arial"/>
                <w:sz w:val="14"/>
                <w:szCs w:val="14"/>
                <w:b w:val="1"/>
                <w:bCs w:val="1"/>
                <w:color w:val="auto"/>
              </w:rPr>
              <w:t>605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2,790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COGS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6,330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6,007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9"/>
              </w:rPr>
              <w:t>Selling general and administrative expenses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(9,405)</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is discussed in further detail in Note 3.</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adopted accounting standards update (ASU) 2016-1, which requires equity investments (except those accounted for under the equity method of accounting or those that result in consolidation of the investee) to be measured at fair value with changes in fair value recognized in net income. For equity investments without readily determinable fair values that do not qualify for the practical expedient to estimate fair value using the net asset value per share or its equivalent, the Company has elected to measure these investments at cost minus impairment, if any, plus or minus changes resulting from observable price changes in orderly transactions for the identical or similar investment of the same issuer. This election is made for each investment separately and is reassessed at each reporting period as to whether the investment continues to qualify for this election. Additionally, at each reporting period, the Company makes a qualitative assessment considering impairment indicators to evaluate whether the investment is impaired. The adoption of this standard did not have a material effect.</w:t>
      </w:r>
    </w:p>
    <w:p>
      <w:pPr>
        <w:spacing w:after="0" w:line="19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(ASU 2016-02). Under ASU 2016-02, lessees will be required to recognize a lease liability and a right-of-use asset for all leases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 of short term leases) at the commencement date. Lessor accounting under ASU 2016-02 is largely unchanged. ASU 2016-02 is effective for the Company for the year ending December 31, 2020.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Company is currently evaluating the expected impact of ASU 2016-2 on its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200"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(ASU 2016-13), which amends the impairment model by requiring entities to use a forward-looking approach based on expected losses to estimate credit losses on certain types of financial instruments, including trade receivables and available-for-sale debt securities. The standard is effective for the Company beginning in the first quarter of 2020, with early adoption permitted. The Company is currently evaluating the expected impact of ASU 2016-13 on its financial statements.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 Simplifying the Test for Goodwill Impairment</w:t>
      </w:r>
      <w:r>
        <w:rPr>
          <w:rFonts w:ascii="Arial" w:cs="Arial" w:eastAsia="Arial" w:hAnsi="Arial"/>
          <w:sz w:val="18"/>
          <w:szCs w:val="18"/>
          <w:color w:val="auto"/>
        </w:rPr>
        <w:t>. This ASU eliminates Step 2 from the goodwill impairment test. In addition, income tax 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This ASU is effective for annual periods beginning after December 15, 2019 and interim periods within those annual periods. Early adoption is permitted, for interim or annual goodwill impairment tests performed on testing dates after January 1, 2017. The Company does not expect adoption of this ASU to be material to its financial statements.</w:t>
      </w:r>
    </w:p>
    <w:p>
      <w:pPr>
        <w:spacing w:after="0" w:line="19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This ASU removed the following disclosure requirements: (1) the amount of and reasons for transfers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No. 2018-13 will be effective for fiscal years beginning after December 15, 2019 with early adoption permitted. As of March 31, 2019, the Company has not elected to early adopt this guidance but does not expect that the adoption of this guidance will have a material effect on its consolidated financial statements.</w:t>
      </w:r>
    </w:p>
    <w:p>
      <w:pPr>
        <w:spacing w:after="0" w:line="1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2018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81"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 xml:space="preserve">The Company adopted ASC 606 on January 1, 2019, using the modified retrospective method for all contracts not completed as of the date of adoption. The reported results for 2019 reflect the application of ASC 606 guidance, while the reported results for 2018 were prepared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exceeds 200 customers and includes several of the largest biopharmaceutical companies, academic research organizations and distributors who serve certain geographic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300" w:firstLine="648"/>
        <w:spacing w:after="0" w:line="272"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has not recognized any revenues from royalties.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Company’s payment terms vary by the type and location of customer and the products or services offered. Payment from customers is generally required in a term ranging from 30 to 45 days from date of shipment or satisfaction of the performance obligation with no discounts for early payment. The Company does not provide extended payment terms or financing arrangements to its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When disaggregating revenue, the Company considered all of the economic factors that may affect its revenues. The following tables disaggregate the Company’s revenue from contracts with customers by revenue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2019</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rPr>
              <w:t>NA</w:t>
            </w:r>
          </w:p>
        </w:tc>
        <w:tc>
          <w:tcPr>
            <w:tcW w:w="280" w:type="dxa"/>
            <w:vAlign w:val="bottom"/>
          </w:tcPr>
          <w:p>
            <w:pPr>
              <w:spacing w:after="0"/>
              <w:rPr>
                <w:sz w:val="12"/>
                <w:szCs w:val="12"/>
                <w:color w:val="auto"/>
              </w:rPr>
            </w:pPr>
          </w:p>
        </w:tc>
        <w:tc>
          <w:tcPr>
            <w:tcW w:w="12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EMEA</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Asia Pacific</w:t>
            </w:r>
          </w:p>
        </w:tc>
        <w:tc>
          <w:tcPr>
            <w:tcW w:w="300" w:type="dxa"/>
            <w:vAlign w:val="bottom"/>
          </w:tcPr>
          <w:p>
            <w:pPr>
              <w:spacing w:after="0"/>
              <w:rPr>
                <w:sz w:val="12"/>
                <w:szCs w:val="12"/>
                <w:color w:val="auto"/>
              </w:rPr>
            </w:pPr>
          </w:p>
        </w:tc>
        <w:tc>
          <w:tcPr>
            <w:tcW w:w="10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Instruments</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1,397</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1,145</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874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Consumable and other products</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2,088</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Service and other revenues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services</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1,504</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 w:name="page14"/>
    <w:bookmarkEnd w:id="13"/>
    <w:p>
      <w:pPr>
        <w:ind w:right="100" w:firstLine="648"/>
        <w:spacing w:after="0" w:line="255" w:lineRule="auto"/>
        <w:rPr>
          <w:sz w:val="20"/>
          <w:szCs w:val="20"/>
          <w:color w:val="auto"/>
        </w:rPr>
      </w:pPr>
      <w:r>
        <w:rPr>
          <w:rFonts w:ascii="Arial" w:cs="Arial" w:eastAsia="Arial" w:hAnsi="Arial"/>
          <w:sz w:val="18"/>
          <w:szCs w:val="18"/>
          <w:color w:val="auto"/>
        </w:rPr>
        <w:t>The Company’s contracts with customers may include promises to transfer multiple products and services to a customer. The Company will combine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or usage-based royalty will be recognized in the period the underlying transaction occurs. The Company has not recorded any sales- or usage-based royalty revenue for the three months ended March 31, 2019.</w:t>
      </w:r>
    </w:p>
    <w:p>
      <w:pPr>
        <w:spacing w:after="0" w:line="18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aggregate amount of transaction price that is allocated to performance obligations that have not yet been satisfied or are partially satisfied as of March 31, 2019 is $5.9 million. This amount principally consists of $3.6 million billed for undelivered services related to initial and extended service-type warranties and research services, as well as $1.7 million related to undelivered licenses of intellectual property for a diagnostics company (see Note 12 below). Of these amounts, $2.6 million is expected to be recognized as revenue in the next 12 months, with the remainder to be recognized within the 24 months thereafter.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11460"/>
          </w:cols>
          <w:pgMar w:left="240" w:top="341" w:right="199" w:bottom="1440" w:gutter="0" w:footer="0" w:header="0"/>
        </w:sectPr>
      </w:pPr>
    </w:p>
    <w:p>
      <w:pPr>
        <w:spacing w:after="0" w:line="374"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Balance at December 31, 2018</w:t>
      </w:r>
    </w:p>
    <w:p>
      <w:pPr>
        <w:spacing w:after="0" w:line="4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606 adoption adjustment</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Recognition of deferred revenue</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Balance at March 31,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Three Months Ended March 31, 2019</w:t>
            </w:r>
          </w:p>
        </w:tc>
      </w:tr>
      <w:tr>
        <w:trPr>
          <w:trHeight w:val="195"/>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2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5,957</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(960)</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2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-728345</wp:posOffset>
            </wp:positionV>
            <wp:extent cx="41249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24960" cy="14605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-445135</wp:posOffset>
            </wp:positionV>
            <wp:extent cx="4124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4960" cy="13716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-170815</wp:posOffset>
            </wp:positionV>
            <wp:extent cx="41249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4960" cy="15430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360" w:space="720"/>
            <w:col w:w="6380"/>
          </w:cols>
          <w:pgMar w:left="240" w:top="341" w:right="199" w:bottom="1440" w:gutter="0" w:footer="0" w:header="0"/>
          <w:type w:val="continuous"/>
        </w:sectPr>
      </w:pPr>
    </w:p>
    <w:p>
      <w:pPr>
        <w:spacing w:after="0" w:line="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Three Months Ended March 31, 2019</w:t>
            </w:r>
          </w:p>
        </w:tc>
        <w:tc>
          <w:tcPr>
            <w:tcW w:w="3100" w:type="dxa"/>
            <w:vAlign w:val="bottom"/>
          </w:tcPr>
          <w:p>
            <w:pPr>
              <w:spacing w:after="0"/>
              <w:rPr>
                <w:sz w:val="14"/>
                <w:szCs w:val="14"/>
                <w:color w:val="auto"/>
              </w:rPr>
            </w:pPr>
          </w:p>
        </w:tc>
      </w:tr>
      <w:tr>
        <w:trPr>
          <w:trHeight w:val="210"/>
        </w:trPr>
        <w:tc>
          <w:tcPr>
            <w:tcW w:w="186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606 adoption adjustment</w:t>
            </w:r>
          </w:p>
        </w:tc>
        <w:tc>
          <w:tcPr>
            <w:tcW w:w="26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Deferral of costs to obtain a contract</w:t>
            </w:r>
          </w:p>
        </w:tc>
        <w:tc>
          <w:tcPr>
            <w:tcW w:w="26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9"/>
              </w:rPr>
              <w:t>Recognition of costs to obtain a contract</w:t>
            </w:r>
          </w:p>
        </w:tc>
        <w:tc>
          <w:tcPr>
            <w:tcW w:w="260" w:type="dxa"/>
            <w:vAlign w:val="bottom"/>
          </w:tcPr>
          <w:p>
            <w:pPr>
              <w:spacing w:after="0"/>
              <w:rPr>
                <w:sz w:val="18"/>
                <w:szCs w:val="18"/>
                <w:color w:val="auto"/>
              </w:rPr>
            </w:pPr>
          </w:p>
        </w:tc>
        <w:tc>
          <w:tcPr>
            <w:tcW w:w="30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3100" w:type="dxa"/>
            <w:vAlign w:val="bottom"/>
          </w:tcPr>
          <w:p>
            <w:pPr>
              <w:spacing w:after="0"/>
              <w:rPr>
                <w:sz w:val="18"/>
                <w:szCs w:val="18"/>
                <w:color w:val="auto"/>
              </w:rPr>
            </w:pPr>
          </w:p>
        </w:tc>
      </w:tr>
      <w:tr>
        <w:trPr>
          <w:trHeight w:val="210"/>
        </w:trPr>
        <w:tc>
          <w:tcPr>
            <w:tcW w:w="1860" w:type="dxa"/>
            <w:vAlign w:val="bottom"/>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1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1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jc w:val="right"/>
              <w:ind w:right="2333"/>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1860" w:type="dxa"/>
            <w:vAlign w:val="bottom"/>
            <w:tcBorders>
              <w:bottom w:val="single" w:sz="8" w:color="808080"/>
            </w:tcBorders>
          </w:tcPr>
          <w:p>
            <w:pPr>
              <w:spacing w:after="0"/>
              <w:rPr>
                <w:sz w:val="11"/>
                <w:szCs w:val="11"/>
                <w:color w:val="auto"/>
              </w:rPr>
            </w:pPr>
          </w:p>
        </w:tc>
        <w:tc>
          <w:tcPr>
            <w:tcW w:w="3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14" w:name="page15"/>
    <w:bookmarkEnd w:id="14"/>
    <w:p>
      <w:pPr>
        <w:ind w:right="120" w:firstLine="648"/>
        <w:spacing w:after="0" w:line="286" w:lineRule="auto"/>
        <w:rPr>
          <w:sz w:val="20"/>
          <w:szCs w:val="20"/>
          <w:color w:val="auto"/>
        </w:rPr>
      </w:pPr>
      <w:r>
        <w:rPr>
          <w:rFonts w:ascii="Arial" w:cs="Arial" w:eastAsia="Arial" w:hAnsi="Arial"/>
          <w:sz w:val="17"/>
          <w:szCs w:val="17"/>
          <w:color w:val="auto"/>
        </w:rPr>
        <w:t>The Company has classified the balance of capitalized costs to obtain a contract as a component of prepaid expenses and other current assets as of January 1, 2019 and March 31, 2019 and classifies the expense as a component of cost of goods sold and selling, general and administrative expense over the estimated life of the contract.. The Company considers potential impairment in these amounts each period.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ASC 606 provides entities with certain practical expedients and accounting policy elections to minimize the cost and burden of adoption.</w:t>
      </w:r>
    </w:p>
    <w:p>
      <w:pPr>
        <w:spacing w:after="0" w:line="23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225"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January 1, 2019 or March 31, 2019</w:t>
      </w:r>
    </w:p>
    <w:p>
      <w:pPr>
        <w:spacing w:after="0" w:line="171" w:lineRule="exact"/>
        <w:rPr>
          <w:sz w:val="20"/>
          <w:szCs w:val="20"/>
          <w:color w:val="auto"/>
        </w:rPr>
      </w:pPr>
    </w:p>
    <w:p>
      <w:pPr>
        <w:ind w:right="60" w:firstLine="772"/>
        <w:spacing w:after="0" w:line="277" w:lineRule="auto"/>
        <w:rPr>
          <w:sz w:val="20"/>
          <w:szCs w:val="20"/>
          <w:color w:val="auto"/>
        </w:rPr>
      </w:pPr>
      <w:r>
        <w:rPr>
          <w:rFonts w:ascii="Arial" w:cs="Arial" w:eastAsia="Arial" w:hAnsi="Arial"/>
          <w:sz w:val="18"/>
          <w:szCs w:val="18"/>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Basic net loss per common share attributable to common stockholders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For purposes of the diluted net loss per share calculation, preferred stock, unvested restricted common stock and stock options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8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2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2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419,716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2,802,343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2,450,846</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4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76,041</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76,041</w:t>
            </w:r>
          </w:p>
        </w:tc>
        <w:tc>
          <w:tcPr>
            <w:tcW w:w="40" w:type="dxa"/>
            <w:vAlign w:val="bottom"/>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3,298,100</w:t>
            </w:r>
          </w:p>
        </w:tc>
        <w:tc>
          <w:tcPr>
            <w:tcW w:w="3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2,680,315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4980" w:type="dxa"/>
            <w:vAlign w:val="bottom"/>
          </w:tcPr>
          <w:p>
            <w:pPr>
              <w:spacing w:after="0"/>
              <w:rPr>
                <w:sz w:val="24"/>
                <w:szCs w:val="24"/>
                <w:color w:val="auto"/>
              </w:rPr>
            </w:pPr>
          </w:p>
        </w:tc>
        <w:tc>
          <w:tcPr>
            <w:tcW w:w="2640" w:type="dxa"/>
            <w:vAlign w:val="bottom"/>
          </w:tcPr>
          <w:p>
            <w:pPr>
              <w:jc w:val="right"/>
              <w:ind w:right="1730"/>
              <w:spacing w:after="0"/>
              <w:rPr>
                <w:sz w:val="20"/>
                <w:szCs w:val="20"/>
                <w:color w:val="auto"/>
              </w:rPr>
            </w:pPr>
            <w:r>
              <w:rPr>
                <w:rFonts w:ascii="Arial" w:cs="Arial" w:eastAsia="Arial" w:hAnsi="Arial"/>
                <w:sz w:val="18"/>
                <w:szCs w:val="18"/>
                <w:color w:val="auto"/>
              </w:rPr>
              <w:t>14</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8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5" w:name="page16"/>
    <w:bookmarkEnd w:id="15"/>
    <w:p>
      <w:pPr>
        <w:jc w:val="both"/>
        <w:ind w:right="420" w:firstLine="648"/>
        <w:spacing w:after="0" w:line="264" w:lineRule="auto"/>
        <w:rPr>
          <w:sz w:val="20"/>
          <w:szCs w:val="20"/>
          <w:color w:val="auto"/>
        </w:rPr>
      </w:pPr>
      <w:r>
        <w:rPr>
          <w:rFonts w:ascii="Arial" w:cs="Arial" w:eastAsia="Arial" w:hAnsi="Arial"/>
          <w:sz w:val="18"/>
          <w:szCs w:val="18"/>
          <w:color w:val="auto"/>
        </w:rPr>
        <w:t>As of March 31, 2019 and 2018,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March 31, 2019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Significant other</w:t>
            </w:r>
          </w:p>
        </w:tc>
        <w:tc>
          <w:tcPr>
            <w:tcW w:w="220" w:type="dxa"/>
            <w:vAlign w:val="bottom"/>
          </w:tcPr>
          <w:p>
            <w:pPr>
              <w:spacing w:after="0"/>
              <w:rPr>
                <w:sz w:val="14"/>
                <w:szCs w:val="14"/>
                <w:color w:val="auto"/>
              </w:rPr>
            </w:pPr>
          </w:p>
        </w:tc>
        <w:tc>
          <w:tcPr>
            <w:tcW w:w="12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inputs (Level 2)</w:t>
            </w:r>
          </w:p>
        </w:tc>
        <w:tc>
          <w:tcPr>
            <w:tcW w:w="2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31,958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31,958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32,108</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December 31, 2018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Quoted prices</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in active</w:t>
            </w: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markets</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42,608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42,608</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42,758</w:t>
            </w:r>
          </w:p>
        </w:tc>
        <w:tc>
          <w:tcPr>
            <w:tcW w:w="3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42,608</w:t>
            </w:r>
          </w:p>
        </w:tc>
        <w:tc>
          <w:tcPr>
            <w:tcW w:w="280" w:type="dxa"/>
            <w:vAlign w:val="bottom"/>
          </w:tcPr>
          <w:p>
            <w:pPr>
              <w:spacing w:after="0"/>
              <w:rPr>
                <w:sz w:val="19"/>
                <w:szCs w:val="19"/>
                <w:color w:val="auto"/>
              </w:rPr>
            </w:pPr>
          </w:p>
        </w:tc>
        <w:tc>
          <w:tcPr>
            <w:tcW w:w="13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74"/>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18"/>
                <w:szCs w:val="18"/>
                <w:color w:val="auto"/>
              </w:rPr>
            </w:pPr>
          </w:p>
        </w:tc>
      </w:tr>
      <w:tr>
        <w:trPr>
          <w:trHeight w:val="210"/>
        </w:trPr>
        <w:tc>
          <w:tcPr>
            <w:tcW w:w="8320" w:type="dxa"/>
            <w:vAlign w:val="bottom"/>
          </w:tcPr>
          <w:p>
            <w:pPr>
              <w:ind w:left="7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Inventory comprises commercial instruments, assays, and the materials required to manufacture assays.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During the third quarter of 2016, the Company purchased a minority interest in preferred stock in a privately held company for $0.3 million. During the third quarter of 2018, the Company was issued a convertible note by a privately held company having a principal amount of $0.2 million.</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preferred stock investment is recorded on a cost basis in other non-current assets on the accompanying balance sheets as the Company does not have a controlling interest, does not have the ability to exercise significant influence over the privately held companies, and the fair value of these equity investment is not readily determinable. The Company performs an impairment analysis at each reporting period to determine if there is any readily available fair value information that would indicate an impairment. The Company has determined there was no impairment during the three months ended March 31, 2019 or in any prior period.</w:t>
      </w:r>
    </w:p>
    <w:p>
      <w:pPr>
        <w:spacing w:after="0" w:line="18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convertible note is held as an available-for-sale investment, which is carried at fair market value, with the unrealized gains and losses included in the determination of comprehensive income and reporting stockholders equity. When determining the estimated fair value of the convertible notes, the Company used a commonly accepted valuation methodology and market-based risk measurement that are indirectly observable, such as credit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Accrued royalties</w:t>
            </w: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8"/>
                <w:szCs w:val="18"/>
                <w:color w:val="auto"/>
              </w:rPr>
            </w:pPr>
          </w:p>
        </w:tc>
      </w:tr>
      <w:tr>
        <w:trPr>
          <w:trHeight w:val="210"/>
        </w:trPr>
        <w:tc>
          <w:tcPr>
            <w:tcW w:w="7620" w:type="dxa"/>
            <w:vAlign w:val="bottom"/>
          </w:tcPr>
          <w:p>
            <w:pPr>
              <w:ind w:left="18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right="404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issued no warrants during the three months ended March 31, 2019 and had 76,041 warrants outstanding as of March 31, 2019.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for all stock awards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325"/>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tcPr>
          <w:p>
            <w:pPr>
              <w:jc w:val="right"/>
              <w:ind w:right="67"/>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6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2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300" w:firstLine="648"/>
        <w:spacing w:after="0" w:line="279" w:lineRule="auto"/>
        <w:rPr>
          <w:sz w:val="20"/>
          <w:szCs w:val="20"/>
          <w:color w:val="auto"/>
        </w:rPr>
      </w:pPr>
      <w:r>
        <w:rPr>
          <w:rFonts w:ascii="Arial" w:cs="Arial" w:eastAsia="Arial" w:hAnsi="Arial"/>
          <w:sz w:val="17"/>
          <w:szCs w:val="17"/>
          <w:color w:val="auto"/>
        </w:rPr>
        <w:t>As of March 31, 2019, under the 2007 Stock Option and Grant Plan (the 2007 Plan), options to purchase 1,691,565 shares of common stock were outstanding, 1,103,535 shares of common stock had been issued and were outstanding pursuant to the exercise of options, no shares of common stock had been issued and were outstanding pursuant to restricted or unrestricted stock awards, and no shares of common stock were available for future awards. In connection with the completion of the IPO, the Company terminated the 2007 Plan.</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or options to purchase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becomes effective.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The number of shares available for grant under the 2017 Plan increased by 894,761 on January 1, 2019 due to this provision. As of March 31, 2019, 373,307 shares were available for grant under the 2017 Plan.</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December 2017, the Company adopted the 2017 Employee Stock Purchase Plan (the 2017 ESPP).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223,690 on January 1, 2019 due to this provision. As of March 31, 2019, the 2017 ESPP allowed for the issuance of up to 649,233 shares of common stock and 629,173 shares were available for grant under the 2017 ESPP.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Under the 2007 Plan and the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7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Weighted-average</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Remaining contractual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Aggregate intrinsic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life (in years)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2,476,911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460,674</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(78,712)</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(56,530)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13.78</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2,802,343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w:t>
            </w:r>
          </w:p>
        </w:tc>
        <w:tc>
          <w:tcPr>
            <w:tcW w:w="176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17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Vested and expected to vest at March 31, 2019</w:t>
            </w:r>
          </w:p>
        </w:tc>
        <w:tc>
          <w:tcPr>
            <w:tcW w:w="1600" w:type="dxa"/>
            <w:vAlign w:val="bottom"/>
          </w:tcPr>
          <w:p>
            <w:pPr>
              <w:jc w:val="right"/>
              <w:spacing w:after="0"/>
              <w:rPr>
                <w:sz w:val="20"/>
                <w:szCs w:val="20"/>
                <w:color w:val="auto"/>
              </w:rPr>
            </w:pPr>
            <w:r>
              <w:rPr>
                <w:rFonts w:ascii="Arial" w:cs="Arial" w:eastAsia="Arial" w:hAnsi="Arial"/>
                <w:sz w:val="18"/>
                <w:szCs w:val="18"/>
                <w:color w:val="auto"/>
              </w:rPr>
              <w:t>2,802,343</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11.57</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39,954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2019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1,233,379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Using the Black-Scholes option pricing model, the weighted-average fair value of options granted to employees and directors during the three months ended March 31, 2019 and 2018 was $7.90 and $8.72 per share, respectively. The expense related to awards granted to employees was $0.7 million for the three months ended March 31, 2019 and 2018. The intrinsic value of stock options exercised was $1.2 million and $1.0 million for the three months ended March 31, 2019 and 2018, respectively. Activity related to non-employee awards was not material to the three months ended March 31, 2019 and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Restricted common stock awards represent shares of common stock issued to employees subject to forfeiture if the vesting conditions are not satisfied. In December 2014, the Company issued 78,912 shares of restricted common stock to a director of the Company under the 2007 Plan. Under the terms of the agreement, shares of common stock issued are subject to a four 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 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stock awards were granted or vested during the three months ended March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Restricted stock units (RSUs) represent the right to receive shares of common stock upon meeting specified vesting requirements. In the three months ended March 31, 2019, the Company issued 130,085 RSUs to employees of the Company under the 2017 Plan. Under the terms of the agreements, 82,463 of the RSUs issued are subject to a four year vesting schedule with 25% vesting on the first anniversary and the remaining vesting 75% ratably on a monthly basis over the remaining three years; 15,890 of the RSUs vest on December 31, 2019; and for 31,731 of the RSUs, 1,983 vest on March 31, 2019 with the remaining vesting evenly over 45 months thereafter. A summary of restricted stock unit activity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value per share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December 31, 2018</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321,662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130,085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(23,649)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Cancelled</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(8,382)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RSUs as of March 31, 2019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419,716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20" w:type="dxa"/>
            <w:vAlign w:val="bottom"/>
          </w:tcPr>
          <w:p>
            <w:pPr>
              <w:ind w:left="5620"/>
              <w:spacing w:after="0"/>
              <w:rPr>
                <w:sz w:val="20"/>
                <w:szCs w:val="20"/>
                <w:color w:val="auto"/>
              </w:rPr>
            </w:pPr>
            <w:r>
              <w:rPr>
                <w:rFonts w:ascii="Arial" w:cs="Arial" w:eastAsia="Arial" w:hAnsi="Arial"/>
                <w:sz w:val="18"/>
                <w:szCs w:val="18"/>
                <w:color w:val="auto"/>
              </w:rPr>
              <w:t>18</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6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9" w:name="page20"/>
    <w:bookmarkEnd w:id="19"/>
    <w:p>
      <w:pPr>
        <w:ind w:right="180" w:firstLine="648"/>
        <w:spacing w:after="0" w:line="277" w:lineRule="auto"/>
        <w:rPr>
          <w:sz w:val="20"/>
          <w:szCs w:val="20"/>
          <w:color w:val="auto"/>
        </w:rPr>
      </w:pPr>
      <w:r>
        <w:rPr>
          <w:rFonts w:ascii="Arial" w:cs="Arial" w:eastAsia="Arial" w:hAnsi="Arial"/>
          <w:sz w:val="18"/>
          <w:szCs w:val="18"/>
          <w:color w:val="auto"/>
        </w:rPr>
        <w:t>The expense related to awards granted to employees and directors was $0.5 million and $0.2 for the three months ended March 31, 2019 and 2018, respectively.</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March 31, 2019, there was $7.0 million of total unrecognized compensation cost related to unvested restricted stock, which is expected to be recognized over the remaining weighted-average vesting period of 3.02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three months ended March 31, 2019 and 2018, the Company recorded royalty expense of $0.2 million and $0.1 million, respectively, in cost of product revenue on the consolidated statements of operations and comprehensive loss.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year ended December 31, 2012, the Company entered into a license agreement for certain intellectual property with a third party. The non-exclusive, non-sublicensable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The Company must pay the greater of calculated royalties on net sales or an annual minimum royalty of $50,000. During each of the three months ended March 31, 2019 and 2018, the Company recorded royalty expense of less than $0.1 million in cost of product revenue on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During the year ended December 31, 2014, the Company entered into a lease agreement for the Company’s current corporate headquarters in Lexington, Massachusetts with a lease term that expires in June 2020; however, in November 2018, the Company agreed to terminate the lease with the lessor effective May 31, 2019. The lease was terminated in connection with the Company signing a new lease in Billerica, Massachusetts. On October 2, 2018, the Company entered into a 137 month operating lease for the Company’s new headquarters in Billerica, Massachusetts. The lease contains a period of free rent and escalating monthly rent payments. As part of the lease, the Company was required to enter into a $1.0 million Letter of Credit drawable by the lessor under specifically outlined conditions. The amount of the Letter of Credit will be reduced at 41 and 65 months after the commencement date of the lease to $750,000 and then $250,000, respectively. The $1.0 million Letter of Credit is recorded as restricted cash on the balance sheet.</w:t>
      </w:r>
    </w:p>
    <w:p>
      <w:pPr>
        <w:spacing w:after="0" w:line="16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acquisition of Aushon in January 2018, the Company assumed the existing Aushon lease for facilities in Billerica, Massachusetts. In August 2018 the Company terminated the Aushon lease effective September 1, 2019. The Company is required to pay a termination fee no later than July 1, 2019 in consideration for the early termination.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Rent expense is recognized straight-line over the course of the lease term. As of March 31, 2019, $6.3 million of deferred rent expense was recorded in other non-current liabilities, and less than $0.1 million was recorded in other accrued expenses. The table below includes committed lease expenditures related to the new lease.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the minimum future rent payments under the lease agreements are as follows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3,290</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3,372</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2023 and Forward</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29,207</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recorded $1.0 million and $0.3 million in rent expense for the three months ended March 31,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supply agreement</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Through the Company’s development agreement with STRATEC Biomedical, as amended in December 2016, the parties agreed on additional development services for an additional fee, which is payable when the additional development is completed. A total of $1.5 million is payable to STRATEC upon completion of the development activities. This amount is being recorded to research and development expense and accrued expenses as the services are performed. The services were completed during the year ending December 31, 2018. Substantive efforts related to these additional development activities started in the first quarter of 2019 and are expected to continue through the second quarter of 2019.</w:t>
      </w:r>
    </w:p>
    <w:p>
      <w:pPr>
        <w:spacing w:after="0" w:line="173"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March 31, 2019, assuming no additional commercial units were purchased, this fee would equal $10.9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March 31, 2019 and December 31, 2018 was insignificant as there was a low probability of the warrants being issued.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7" w:lineRule="exact"/>
        <w:rPr>
          <w:sz w:val="20"/>
          <w:szCs w:val="20"/>
          <w:color w:val="auto"/>
        </w:rPr>
      </w:pPr>
    </w:p>
    <w:p>
      <w:pPr>
        <w:ind w:right="10080" w:firstLine="8"/>
        <w:spacing w:after="0" w:line="604" w:lineRule="auto"/>
        <w:tabs>
          <w:tab w:leader="none" w:pos="26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ind w:right="160" w:firstLine="648"/>
        <w:spacing w:after="0" w:line="255" w:lineRule="auto"/>
        <w:rPr>
          <w:sz w:val="20"/>
          <w:szCs w:val="20"/>
          <w:color w:val="auto"/>
        </w:rPr>
      </w:pPr>
      <w:r>
        <w:rPr>
          <w:rFonts w:ascii="Arial" w:cs="Arial" w:eastAsia="Arial" w:hAnsi="Arial"/>
          <w:sz w:val="18"/>
          <w:szCs w:val="18"/>
          <w:color w:val="auto"/>
        </w:rPr>
        <w:t>On April 14, 2014, the Company executed a Loan Agreement with a lender, as subsequently amended in March 2015, January 2016, March 2017, July 2017, August 2018, October 2018, and April 2019. As of March 31, 2019, there were no additional amounts available to borrow under the debt facility. The interest rate on this term loan is variable based on a calculation of the prime rate less 5.25% with a minimum interest rate of 8.25%.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1" w:name="page22"/>
    <w:bookmarkEnd w:id="21"/>
    <w:p>
      <w:pPr>
        <w:ind w:right="580"/>
        <w:spacing w:after="0" w:line="277" w:lineRule="auto"/>
        <w:rPr>
          <w:sz w:val="20"/>
          <w:szCs w:val="20"/>
          <w:color w:val="auto"/>
        </w:rPr>
      </w:pPr>
      <w:r>
        <w:rPr>
          <w:rFonts w:ascii="Arial" w:cs="Arial" w:eastAsia="Arial" w:hAnsi="Arial"/>
          <w:sz w:val="18"/>
          <w:szCs w:val="18"/>
          <w:color w:val="auto"/>
        </w:rPr>
        <w:t>fair value of warrants on the date of grant were accounted for as a reduction in the book value of debt and accreted through interest expense, using the effective interest rate method, over the term of the debt.</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No end of term charges or principal payments were paid during the three months ended March 31, 2019. Under the terms of the amendment in April 2019, principal payments were delayed until 2021 (Note 16). Under the amended Loan Agreement, the remaining outstanding principal will be paid upon maturity of the note in 2021 (Note 16). As of March 31, 2019, the remaining loan balance is classified as a long term liability since all principal payments are due greater than twelve months after the balance sheet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debt payment obligations due based on principal payments are as follows (in thousands):</w:t>
      </w:r>
    </w:p>
    <w:p>
      <w:pPr>
        <w:spacing w:after="0" w:line="240"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3800" w:type="dxa"/>
            <w:vAlign w:val="bottom"/>
            <w:shd w:val="clear" w:color="auto" w:fill="CCEEFF"/>
          </w:tcPr>
          <w:p>
            <w:pPr>
              <w:jc w:val="right"/>
              <w:ind w:right="3350"/>
              <w:spacing w:after="0"/>
              <w:rPr>
                <w:sz w:val="20"/>
                <w:szCs w:val="20"/>
                <w:color w:val="auto"/>
              </w:rPr>
            </w:pPr>
            <w:r>
              <w:rPr>
                <w:rFonts w:ascii="Arial" w:cs="Arial" w:eastAsia="Arial" w:hAnsi="Arial"/>
                <w:sz w:val="18"/>
                <w:szCs w:val="18"/>
                <w:color w:val="auto"/>
                <w:w w:val="84"/>
              </w:rPr>
              <w:t>2019</w:t>
            </w:r>
          </w:p>
        </w:tc>
        <w:tc>
          <w:tcPr>
            <w:tcW w:w="500" w:type="dxa"/>
            <w:vAlign w:val="bottom"/>
            <w:gridSpan w:val="2"/>
            <w:shd w:val="clear" w:color="auto" w:fill="CCEEFF"/>
          </w:tcPr>
          <w:p>
            <w:pPr>
              <w:jc w:val="right"/>
              <w:ind w:right="37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jc w:val="right"/>
              <w:ind w:right="3350"/>
              <w:spacing w:after="0"/>
              <w:rPr>
                <w:sz w:val="20"/>
                <w:szCs w:val="20"/>
                <w:color w:val="auto"/>
              </w:rPr>
            </w:pPr>
            <w:r>
              <w:rPr>
                <w:rFonts w:ascii="Arial" w:cs="Arial" w:eastAsia="Arial" w:hAnsi="Arial"/>
                <w:sz w:val="18"/>
                <w:szCs w:val="18"/>
                <w:color w:val="auto"/>
                <w:w w:val="84"/>
              </w:rPr>
              <w:t>2020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jc w:val="right"/>
              <w:ind w:right="3350"/>
              <w:spacing w:after="0"/>
              <w:rPr>
                <w:sz w:val="20"/>
                <w:szCs w:val="20"/>
                <w:color w:val="auto"/>
              </w:rPr>
            </w:pPr>
            <w:r>
              <w:rPr>
                <w:rFonts w:ascii="Arial" w:cs="Arial" w:eastAsia="Arial" w:hAnsi="Arial"/>
                <w:sz w:val="18"/>
                <w:szCs w:val="18"/>
                <w:color w:val="auto"/>
                <w:w w:val="84"/>
              </w:rPr>
              <w:t>2021</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00" w:type="dxa"/>
            <w:vAlign w:val="bottom"/>
            <w:shd w:val="clear" w:color="auto" w:fill="CCEEFF"/>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Non-cash interest expense related to debt discount amortization and accretion of end of term fees was less than $0.1 million and $0.1 million for the three months ended March 31, 2019 and 2018,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added $5.3 million of leasehold improvements related to the new 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Collaboration and license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and license agreement</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JDLA with bioMérieux, a related party, was amended in 2016 (the JDLA). Following the amendment, a total of $3.2 million of consideration was assigned to the deliverables and collaboration activities outlined in the Amended JDLA. The consideration of $3.2 million will be recognized over the performance period which began in the fourth quarter 2016. On September 6, 2018, bioMérieux notified the Company that it was terminating the Amended JDLA, forfeiting any future IVD licensing rights to the Company’s Simoa technology and enabling the Company to consolidate and regain control of all Simoa IVD licensing and IP rights. As a result of the termination, the Company immediately recognized $1.6 million in deferred revenue related to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and option agreements and license agreement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non-refundable payments totaling $2.0 million. In December 2016, the diagnostic company exercised one of its options and the parties entered into a non-exclusive license agreement in one of the fields. This agreement has a one-time non-refundable license fee of $1.0 million and the right to receive running low single digit royalties on licensed products. The negotiation periods for the other two agreements were extended and the negotiations remain ongoing.</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In December 2018, the Company entered into an option agreement for the rights to negotiate an exclusive license in this field with the diagnostic company. In exchange for the rights to negotiate an exclusive agreement, the Company will receive $0.5 million in consideration. As the right to negotiate with the Company has not been executed, the consideration from this agreement is deferred until the sooner of the execution of the contract or the end of the option period. Because the negotiations remain ongoing with respect to the other two fields and the options have not been exercised, the consideration allocated to these options of $1.7 million has been deferred and is recorded as deferred revenue as of March 31, 2019 and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sponsors a 401(k) savings plan for its employees The Company may make discretionary contributions for each 401(k) plan year. During the three months ended March 31, 2019, the Company made contributions of $0.1 million and during the three months ended March 31, 2018, the Company did not make any contribution.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Goodwill and Acquired Intangible Assets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March 31, 2019, the carrying amount of goodwill was $1.3 million. The following is a rollforward of the Company’s goodwill balance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Goodwill acquired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2019</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660" w:type="dxa"/>
            <w:vAlign w:val="bottom"/>
            <w:gridSpan w:val="3"/>
          </w:tcPr>
          <w:p>
            <w:pPr>
              <w:ind w:left="660"/>
              <w:spacing w:after="0"/>
              <w:rPr>
                <w:sz w:val="20"/>
                <w:szCs w:val="20"/>
                <w:color w:val="auto"/>
              </w:rPr>
            </w:pPr>
            <w:r>
              <w:rPr>
                <w:rFonts w:ascii="Arial" w:cs="Arial" w:eastAsia="Arial" w:hAnsi="Arial"/>
                <w:sz w:val="18"/>
                <w:szCs w:val="18"/>
                <w:color w:val="auto"/>
              </w:rPr>
              <w:t>Purchased intangible assets consist of the following (in thousands):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Estimated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2019</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Useful</w:t>
            </w:r>
          </w:p>
        </w:tc>
        <w:tc>
          <w:tcPr>
            <w:tcW w:w="26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5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0"/>
                <w:szCs w:val="10"/>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Life (in</w:t>
            </w:r>
          </w:p>
        </w:tc>
        <w:tc>
          <w:tcPr>
            <w:tcW w:w="26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years)</w:t>
            </w: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recorded amortization expense of $0.2 million and $0.1 million, for the three months ended March 31, 2019 and 2018, respectively. Amortization relating to developed technology is recorded within research and development expense, amortization of customer relationships is recorded within sales and marketing expenses, and amortization of trade names is recorded within general and administrative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estimated amortization expense of acquired intangibles as of March 31, 2019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20"/>
                <w:szCs w:val="20"/>
                <w:color w:val="auto"/>
              </w:rPr>
            </w:pPr>
            <w:r>
              <w:rPr>
                <w:rFonts w:ascii="Arial" w:cs="Arial" w:eastAsia="Arial" w:hAnsi="Arial"/>
                <w:sz w:val="14"/>
                <w:szCs w:val="14"/>
                <w:b w:val="1"/>
                <w:bCs w:val="1"/>
                <w:color w:val="auto"/>
              </w:rPr>
              <w:t>For the Years Ended December 31,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 Amortization Expense</w:t>
            </w: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r>
        <w:trPr>
          <w:trHeight w:val="210"/>
        </w:trPr>
        <w:tc>
          <w:tcPr>
            <w:tcW w:w="8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bioMérieux is a customer and also a holder of the Company’s common stock. bioMérieux formerly also had a designee on the Company’s Board of Directors. On September 6, 2018, bioMérieux notified the Company that it was terminating the Amended JDLA. The termination of the agreement resulted in the immediate recognition of the remaining deferred revenue. The Company recognized revenue from bioMérieux related to the Amended JDLA of $0.0 million and $0.3 million in the three months ended March 31, 2019 and 2018, respectively.</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entered into the License Agreement for certain intellectual property with Tufts. Tufts is a related party to the Company due to Tufts’ equity ownership in the Company and because a board member of the Company’s Board of Directors was affiliated with Tufts. During the three months ended March 31, 2019 and 2018,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Company recorded royalty expense of $0.2 million and $0.1 million, respectively, in cost of product revenue on the consolidated statements of operations and comprehensive loss.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 ended December 31, 2017, Harvard University became a related party. Revenue recorded from sales to Harvard University were less than $0.1 million for each of the three months ended March 31,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April 15, 2019, the Company signed Amendment 7 to the Loan Agreement, which extends the interest only payment period through July 1, 2021 and also extends the maturity date until October 1, 2021. As part of this Amendment 7 a “2019 End of Term Fee” for $50,000 was added to the Loan Agreement due on the earliest to occur of (i) the Term Loan Maturity Date, (ii) the date that the Company prepays the outstanding Secured Obligations and</w:t>
      </w:r>
    </w:p>
    <w:p>
      <w:pPr>
        <w:ind w:right="200" w:firstLine="8"/>
        <w:spacing w:after="0" w:line="261"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that the Secured Obligations become due and payable. In addition, the Company is required to pay the loan principal in five equal installments starting July 1, 2021 with the final principal payment to be made on October 1, 2021.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2018,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2018 or other filings that we make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we are also developing our Simoa bead-based technology to detect nucleic acids in biological samples.</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Czech Republic, China, India, Israel, Japan, Mexico, South Korea, Lebanon, Qatar, Singapore and Taiwan.</w:t>
      </w:r>
    </w:p>
    <w:p>
      <w:pPr>
        <w:spacing w:after="0" w:line="18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commercially launched our HD-1 instrument in January 2014. The HD-1 is based on our bead-based technology, and assays run on the HD-1 are fully automated. We initiated commercial launch of the SR-X instrument in December 2017. The SR-X utilizes the same Simoa bead-based technology and assay kits as the HD-1 Analyzer in a compact benchtop form with a lower price point, more flexible assay preparation, and a wider range of applications. While we expect the SR-X to generate lower consumables revenue per instrument than the Simoa HD-1 Analyzer due to its lower throughput,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January 30, 2018, we acquired Aushon Biosystems, Inc.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 w:name="page26"/>
    <w:bookmarkEnd w:id="25"/>
    <w:p>
      <w:pPr>
        <w:ind w:left="660"/>
        <w:spacing w:after="0"/>
        <w:rPr>
          <w:sz w:val="20"/>
          <w:szCs w:val="20"/>
          <w:color w:val="auto"/>
        </w:rPr>
      </w:pPr>
      <w:r>
        <w:rPr>
          <w:rFonts w:ascii="Arial" w:cs="Arial" w:eastAsia="Arial" w:hAnsi="Arial"/>
          <w:sz w:val="17"/>
          <w:szCs w:val="17"/>
          <w:color w:val="auto"/>
        </w:rPr>
        <w:t>As of March 31, 2019, we had cash and cash equivalents of $34.0 million. Since inception, we have incurred net losses. Our net loss was</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$31.5 million, $27.0 million, and $23.2 million for the years ended December 31, 2018, 2017 and 2016, respectively, and $9.4 million and $7.2 million for the three months ended March 31, 2019 and 2018, respectively. As of March 31, 2019, we had an accumulated deficit of $184.9 million and stockholders’ equity of $34.2 million. We expect to continue to incur significant expenses and operating losses at least through the next 24 months. We expect our expenses will increase substantially as we:</w:t>
      </w:r>
    </w:p>
    <w:p>
      <w:pPr>
        <w:spacing w:after="0" w:line="190" w:lineRule="exact"/>
        <w:rPr>
          <w:sz w:val="20"/>
          <w:szCs w:val="20"/>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00" w:right="220" w:hanging="644"/>
        <w:spacing w:after="0" w:line="250"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1" w:lineRule="exact"/>
        <w:rPr>
          <w:rFonts w:ascii="Arial" w:cs="Arial" w:eastAsia="Arial" w:hAnsi="Arial"/>
          <w:sz w:val="18"/>
          <w:szCs w:val="18"/>
          <w:color w:val="auto"/>
        </w:rPr>
      </w:pPr>
    </w:p>
    <w:p>
      <w:pPr>
        <w:ind w:left="1300" w:right="420" w:hanging="644"/>
        <w:spacing w:after="0" w:line="250"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premarket approval, or PMA, or 510(k) clearance from the FDA for our existing products or new products if or when we decide to market products for use in the prevention, diagnosis or treatment of a disease or other condition;</w:t>
      </w: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out our new facility as we continue to grow our employee headcount;</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March 31, 2018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Three months</w:t>
            </w: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ended March 31,</w:t>
            </w: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ended March 31,</w:t>
            </w:r>
          </w:p>
        </w:tc>
        <w:tc>
          <w:tcPr>
            <w:tcW w:w="1040" w:type="dxa"/>
            <w:vAlign w:val="bottom"/>
            <w:gridSpan w:val="2"/>
            <w:vMerge w:val="continue"/>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vMerge w:val="restart"/>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2,790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2,507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12,337</w:t>
            </w:r>
          </w:p>
        </w:tc>
        <w:tc>
          <w:tcPr>
            <w:tcW w:w="180" w:type="dxa"/>
            <w:vAlign w:val="bottom"/>
            <w:vMerge w:val="continue"/>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7,521</w:t>
            </w:r>
          </w:p>
        </w:tc>
        <w:tc>
          <w:tcPr>
            <w:tcW w:w="160" w:type="dxa"/>
            <w:vAlign w:val="bottom"/>
            <w:vMerge w:val="continue"/>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4,816</w:t>
            </w:r>
          </w:p>
        </w:tc>
        <w:tc>
          <w:tcPr>
            <w:tcW w:w="160" w:type="dxa"/>
            <w:vAlign w:val="bottom"/>
            <w:vMerge w:val="continue"/>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goods sold:</w:t>
            </w: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4,248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2,773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1,475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Total costs of goods sold and services</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6,330</w:t>
            </w:r>
          </w:p>
        </w:tc>
        <w:tc>
          <w:tcPr>
            <w:tcW w:w="180" w:type="dxa"/>
            <w:vAlign w:val="bottom"/>
            <w:vMerge w:val="continue"/>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4,349</w:t>
            </w:r>
          </w:p>
        </w:tc>
        <w:tc>
          <w:tcPr>
            <w:tcW w:w="160" w:type="dxa"/>
            <w:vAlign w:val="bottom"/>
            <w:vMerge w:val="continue"/>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1,981</w:t>
            </w:r>
          </w:p>
        </w:tc>
        <w:tc>
          <w:tcPr>
            <w:tcW w:w="160" w:type="dxa"/>
            <w:vAlign w:val="bottom"/>
            <w:vMerge w:val="continue"/>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6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expense: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11,512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6,691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4,821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16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(9,357)</w:t>
            </w:r>
          </w:p>
        </w:tc>
        <w:tc>
          <w:tcPr>
            <w:tcW w:w="180" w:type="dxa"/>
            <w:vAlign w:val="bottom"/>
            <w:vMerge w:val="continue"/>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(7,163)</w:t>
            </w:r>
          </w:p>
        </w:tc>
        <w:tc>
          <w:tcPr>
            <w:tcW w:w="160" w:type="dxa"/>
            <w:vAlign w:val="bottom"/>
            <w:vMerge w:val="continue"/>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(2,194)</w:t>
            </w:r>
          </w:p>
        </w:tc>
        <w:tc>
          <w:tcPr>
            <w:tcW w:w="160" w:type="dxa"/>
            <w:vAlign w:val="bottom"/>
            <w:vMerge w:val="continue"/>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6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vMerge w:val="continue"/>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vMerge w:val="continue"/>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6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Revenue increased by $4.8 million, or 64%, to $12.3 million for the three months ended March 31, 2019 as compared to $7.5 million for the three months ended March 31, 2018. Product revenue consisted of primarily sales of instruments totaling $3.4 million and sales of consumables and other products of $6.1 million for the three months ended March 31, 2019. Product revenue consisted of sales of instruments totaling $2.0 million and sales of consumables and other products totaling $2.7 million for the three months ended March 31, 2018. The increase in product revenue of $4.8 million was primarily due to the sale of more instruments and increased sales of consumables in the three months ended March 31, 2019. The installed base of instruments increased from March 31, 2018 to March 31, 2019, and as these additional instruments were used by customers, the consumable sales increased. The increase in service and other revenue of $0.3 million was due to increased services performed in our Accelerator Laboratory. We had no collaboration and license revenue in the three months ended March 31, 2019 as compared to the $0.3 million of revenue related to the collaboration arrangement with bioMérieux in the three months ended March 31, 2018. We adopted ASC 606 as of January 1, 2019 and note it did not have a material impact on revenue in the first quarter of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Services and Other Revenue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Cost of product revenue increased by $1.5 million, or 53%, to $4.2 million for the three months ended March 31, 2019 as compared to $2.8 million for the three months ended March 31, 2018. The increase was primarily due to increased sales of consumables and instruments. Cost of service revenue increased to $2.1 million for the three months ended March 31, 2019 from $1.6 million for the three months ended March 31, 2018. The increase was primarily due to higher utilization of the Accelerator </w:t>
      </w:r>
      <w:r>
        <w:rPr>
          <w:rFonts w:ascii="Arial" w:cs="Arial" w:eastAsia="Arial" w:hAnsi="Arial"/>
          <w:sz w:val="15"/>
          <w:szCs w:val="15"/>
          <w:color w:val="auto"/>
        </w:rPr>
        <w:t>Laboratory</w:t>
      </w:r>
      <w:r>
        <w:rPr>
          <w:rFonts w:ascii="Arial" w:cs="Arial" w:eastAsia="Arial" w:hAnsi="Arial"/>
          <w:sz w:val="16"/>
          <w:szCs w:val="16"/>
          <w:color w:val="auto"/>
        </w:rPr>
        <w:t>, plus increased personnel costs from the build out of our field service organization. Overall cost of goods sold as a percentage of revenue decreased to 51% of total revenue for the three months ended March 31, 2019 as compared to 58% for the three months ended March 31, 2018, primarily as a result of decreased costs associated with the decrease in cost to produce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increased slightly by $0.2 million, or 6%, to $3.9 million for the three months ended March 31, 2019 as compared to $3.6 million for the three months ended March 31, 2018. The increase was primarily due to the further development of consumables and the SP-X instrument for which development was completed in the first quarter of 2019. In addition, the increased headcount in research and development contributed to the increase in research and development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Selling, general and administrative expense increased by $4.8 million, or 72%, to $11.5 million for the three months ended March 31, 2019 as compared to $6.7 million for the same period in 2018. The increase was primarily due to headcount additions in various departments as we build out our organization to support future growth, public company costs, the lease for the new headquarters, transaction fees and amortization of intangibles associated with the Aushon acquisition, and stock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Interest and other expense, net decreased slightly to less than $0.1 million for the three months ended March 31, 2019 as compared to less than $0.1 million for the same period in 2018, primarily due to the interest income earned on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89"/>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December 2017, we completed our IPO in which we sold 4,916,480 shares of common stock at an initial public offering price of $15.00 per share. The aggregate net proceeds received by us from the offering, net of underwriting discounts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commissions and offering expenses, were $65.6 million. Prior to the IPO, we had raised capital through the sale of redeemable convertible preferred stock in private placement transactions.</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Loan Facility with Hercules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2016, we executed Amendment 2 to the Loan Agreement, which increased the total facility available by $5.0 million to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 million and further delaying the start of principal payments to July 1, 2016. Following the Series D Preferred Stock financing in March 2016, we could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elected to further delay the start of principal payments until January 1, 2017, however we voluntarily began paying principal on July 1, 2016.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signing this amendment, we drew an additional $3.0 million under the debt facility. The remaining $2.0 million available for borrowing expired unused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2016, decreasing the amounts available under the debt facility to $13.0 million.</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2017, we signed Amendment 3 to the Loan Agreement increasing the total facility available by $5.0 million to a total of $18.0 million. We did not draw any of this additional amount, which was available for us to draw until February 28, 2018. Additionally, we did not request an optional term loan for an incremental $5.0 million which was available for us to request until September 3, 2018. Principal payments were delayed to September 1, 2018 and the loan maturity date was extended to March 1, 2019. We voluntarily made principal payments in the months of 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17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July 2017, we signed Amendment 4 to the Loan Agreement, which capped the “Term Loan Interest Rate” with respect to the 2017 Term Loan Advance only at 10%. Amendment 4 to the Loan Agreement did not change or affect any other element of the Loan Agreement or the Term Loan Advance.</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August 2018, we signed Amendment 5 to the Loan Agreement, which extends the interest only payment period through March 1, 2020 and also extends the loan maturity date to March 1, 2020. We accounted for the August 2018 amendment as a modification pursuant to ASC 470-50 and determined that no material change occurred as a result of the modification. In addition, the amendment deferred the payment of principal until the maturity date. $0.1 million of end of term payments are due March 2020.</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In October 2018, we signed Amendment 6 to the Loan agreement, which amends the Loan Agreement’s collateral clause to exclude the $1 million certificate of deposit associated with the lease on our new headquarters in Billerica, Massachusetts. The Loan Agreement and amendments contain end of term payments and are recorded in the debt accounts. $0.5 million of end of term payments were paid in the year ended December 31, 2018.</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clause is not probable and therefore have classified the outstanding principal in current and long-term liabilities based on scheduled principal payments.</w:t>
      </w:r>
    </w:p>
    <w:p>
      <w:pPr>
        <w:spacing w:after="0" w:line="23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April 15, 2019, we entered into Amendment 7 to the Loan Agreement, which extends the interest only payment period through July 1, 2021 and also extends the maturity date until October 1, 2021. As part of the Amendment 7, a “2019 End of Term Fee” for $50,000 was added to the Loan Agreement. In addition, we are required to pay the loan principal in five equal installments starting July 1, 2021 with the final principal payment to be made on October 1,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principal repayments, including the end of term fees, due as of March 31, 2019 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Remainder 2019</w:t>
            </w:r>
          </w:p>
        </w:tc>
        <w:tc>
          <w:tcPr>
            <w:tcW w:w="8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7,838</w:t>
            </w:r>
          </w:p>
        </w:tc>
      </w:tr>
      <w:tr>
        <w:trPr>
          <w:trHeight w:val="210"/>
        </w:trPr>
        <w:tc>
          <w:tcPr>
            <w:tcW w:w="8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(5,917)</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(3,449)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8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Net cash used in operating activities was $5.4 million during the three months ended March 31, 2019. The net loss of $9.4 million includes non-cash charges of $1.3 million of stock-based compensation expense and $0.4 million of depreciation and amortization. Cash used as a result of changes in operating assets and liabilities of $2.3 million was primarily due to an increase in inventory of $1.8 million, a decrease in accounts payable of $1.3 million and a decrease in accrued compensation and benefits, other </w:t>
      </w:r>
      <w:r>
        <w:rPr>
          <w:rFonts w:ascii="Arial" w:cs="Arial" w:eastAsia="Arial" w:hAnsi="Arial"/>
          <w:sz w:val="16"/>
          <w:szCs w:val="16"/>
          <w:color w:val="auto"/>
        </w:rPr>
        <w:t>accrued expenses and other current liabilities</w:t>
      </w:r>
      <w:r>
        <w:rPr>
          <w:rFonts w:ascii="Arial" w:cs="Arial" w:eastAsia="Arial" w:hAnsi="Arial"/>
          <w:sz w:val="17"/>
          <w:szCs w:val="17"/>
          <w:color w:val="auto"/>
        </w:rPr>
        <w:t xml:space="preserve"> of $0.3 million and an increase in accounts receivable of $0.5 million. In addition, $6.1 million increase due to changes in other non current liabilities primarily related to our new lease.</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cash used in operating activities was $10.1 million during the three months ended March 31, 2018. Net cash used in operating activities primarily consisted of the net loss of $7.2 million, and a decrease in accounts payable and accrued compensation and benefits, other accrued expenses and other current liabilities expenses of $2.6 million. Other cash outflows including an increase in inventory of $0.9 million, an increase of prepaid and other expenses of $0.9 million and a decrease in deferred revenue of $0.5 million are primarily offset by a decrease in accounts receivable of $1.1 million, non-cash stock compensation expense of $0.6 million and other non-cash adjustments of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used $5.9 million of cash in investing activities during the three months ended March 31, 2019 consisting of cash paid in for purchases of capital equipment to support our infrastructure. The significant increase was related to the leasehold improvements for new headquarters, which is a component of our lease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480" w:firstLine="648"/>
        <w:spacing w:after="0" w:line="277" w:lineRule="auto"/>
        <w:rPr>
          <w:sz w:val="20"/>
          <w:szCs w:val="20"/>
          <w:color w:val="auto"/>
        </w:rPr>
      </w:pPr>
      <w:r>
        <w:rPr>
          <w:rFonts w:ascii="Arial" w:cs="Arial" w:eastAsia="Arial" w:hAnsi="Arial"/>
          <w:sz w:val="18"/>
          <w:szCs w:val="18"/>
          <w:color w:val="auto"/>
        </w:rPr>
        <w:t>We used $3.4 million of cash in investing activities during the three months ended March 31, 2018 consisting of cash paid in the acquisition of Aushon, net of cash acquired and for purchases of capital equipment to support our infrastructure.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Financing activities provided $0.8 million of cash during the three months ended March 31, 2019, which was primarily from proceeds of common stock option exercises of $0.5 million and stock purchases through our 2017 ESPP of $0.3 million.</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used $0.9 million of cash in financing activities during the three months ended March 31, 2018, which was primarily used in payments of outstanding debt of $1.0 million, which was partially offset by proceeds of common stock option exercises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cash generated from commercial sales, our current cash and cash equivalents, and interest income we earn on these balances will be sufficient to meet our anticipated operating cash requirements at least through the second quarter of 2020.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2018. We have based our estimates on assumptions that may prove to be wrong and we could utilize our available capital resources sooner than we currently expect. Our future funding requirements will depend on many factors, including:</w:t>
      </w:r>
    </w:p>
    <w:p>
      <w:pPr>
        <w:spacing w:after="0" w:line="179" w:lineRule="exact"/>
        <w:rPr>
          <w:sz w:val="20"/>
          <w:szCs w:val="20"/>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instrument;</w:t>
      </w:r>
    </w:p>
    <w:p>
      <w:pPr>
        <w:spacing w:after="0" w:line="23" w:lineRule="exact"/>
        <w:rPr>
          <w:rFonts w:ascii="Arial" w:cs="Arial" w:eastAsia="Arial" w:hAnsi="Arial"/>
          <w:sz w:val="18"/>
          <w:szCs w:val="18"/>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 or debt offerings or other financings. We previously filed a universal shelf registration statement on Form S-3 with the SEC pursuant to which we registered for sale $200 million of any combination of our common stock, preferred stock, debt securities, warrants, rights and/or units, including $50 million of our common stock in an at-the-market offering under a sales agreement with Cowen and Company, LLC, from time to time and at prices and on terms that we may determine. The new shelf registration statement has not yet been declared effective, but, when it becomes effective, the registration statement will remain effective for up to three years from the effective date. Our issuance and sale, if any, of securities under the registration statement or the sales agreement is subject to the effectiveness of such registration statement. We make no assurances as to if or when the registration statement will become effective or, if it does become effective, as to the continued effectiveness of the registration statement. This report shall not constitute an offer to sell or the solicitation of an offer to buy any shares under the sales agreement or any securities under the registration statement, nor shall there be any sale of such securities in any state in which such offer, solicitation or sale would be unlawful prior to registration or qualification under the securities laws of any such state.</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 Significant Judgements and Estimates</w:t>
      </w:r>
    </w:p>
    <w:p>
      <w:pPr>
        <w:spacing w:after="0" w:line="229"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stock-compensation.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right="580" w:firstLine="875"/>
        <w:spacing w:after="0" w:line="302"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Judgements and Estimates” included in our Annual Report on Form 10-K for the year ended December 31, 2018. There have been no material changes to our critical accounting policies and estimates as disclosed therein, with the exception of our adoption of recent accounting pronouncements, as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40" w:firstLine="875"/>
        <w:spacing w:after="0" w:line="277" w:lineRule="auto"/>
        <w:rPr>
          <w:sz w:val="20"/>
          <w:szCs w:val="20"/>
          <w:color w:val="auto"/>
        </w:rPr>
      </w:pPr>
      <w:r>
        <w:rPr>
          <w:rFonts w:ascii="Arial" w:cs="Arial" w:eastAsia="Arial" w:hAnsi="Arial"/>
          <w:sz w:val="18"/>
          <w:szCs w:val="18"/>
          <w:color w:val="auto"/>
        </w:rPr>
        <w:t>We adopted ASC 606, “</w:t>
      </w:r>
      <w:r>
        <w:rPr>
          <w:rFonts w:ascii="Arial" w:cs="Arial" w:eastAsia="Arial" w:hAnsi="Arial"/>
          <w:sz w:val="18"/>
          <w:szCs w:val="18"/>
          <w:i w:val="1"/>
          <w:iCs w:val="1"/>
          <w:color w:val="auto"/>
        </w:rPr>
        <w:t>Revenue Recognition — Revenue from Contracts with Customers</w:t>
      </w:r>
      <w:r>
        <w:rPr>
          <w:rFonts w:ascii="Arial" w:cs="Arial" w:eastAsia="Arial" w:hAnsi="Arial"/>
          <w:sz w:val="18"/>
          <w:szCs w:val="18"/>
          <w:color w:val="auto"/>
        </w:rPr>
        <w:t>” and its related amendment. See Notes 2 and 3 to our unaudited financial statements included elsewhere in this Quarterly Report on Form 10-Q for more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March 31, 2019, there have been no material changes to our contractual obligations and commitments from those described under “Management’s Discussion and Analysis of Financial Condition and Results of Operations” included in the Annual Report on Form 10-K for the year ended December 31, 2018.</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April 15, 2019, we signed Amendment 7 to the Loan Agreement, which extends the interest only payment period through July 1, 2021 and also extends the loan the maturity date until October 1, 2021. We are required to pay the loan principal in five equal installments starting July 1, 2021 with the final principal payment to be made on October 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March 31, 2019, there have been no material changes to the market risk information described under “Quantitative and Qualitative Disclosures About Market Risk” included in the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56"/>
        <w:spacing w:after="0" w:line="293" w:lineRule="auto"/>
        <w:tabs>
          <w:tab w:leader="none" w:pos="93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 officer, after evaluating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4" w:lineRule="exact"/>
        <w:rPr>
          <w:rFonts w:ascii="Arial" w:cs="Arial" w:eastAsia="Arial" w:hAnsi="Arial"/>
          <w:sz w:val="16"/>
          <w:szCs w:val="16"/>
          <w:color w:val="auto"/>
        </w:rPr>
      </w:pPr>
    </w:p>
    <w:p>
      <w:pPr>
        <w:jc w:val="both"/>
        <w:ind w:right="320" w:firstLine="656"/>
        <w:spacing w:after="0" w:line="264" w:lineRule="auto"/>
        <w:tabs>
          <w:tab w:leader="none" w:pos="94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evaluation of such internal control that occurred during the three months ended March 31, 2019 that have materially affected, or are reasonably likely to materially affect, our internal control over financial reporting.</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2018, filed with the SEC on March 18,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11, 2017, we completed the initial public offering of our common stock, which resulted in the sale of 4,916,480 shares, including</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641,280 shares sold by us pursuant to the exercise in full by the underwriters of their option to purchase additional shares in connection with the initial public offering, at a price to the public of $15.00 per share. The offer and sale of all of the shares in our initial public offering was registered under the Securities Act pursuant to a registration statement on Form S-1 (File No. 333-221475), which was declared effective by the SEC on December 6, 2017, and a registration statement on Form S-1 (File No. 333-221932) under Rule 462(b) of the Securities Act that became effective upon its filing. Following the sale of all of the shares in connection with the closing of our initial public offering, the offering terminated. J.P. Morgan Securities LLC, Leerink Partners LLC and Cowen and Company, LLC acted as joint book-running managers for the initial public offering. BTIG, LLC and Evercore Group L.L.C. acted as a co-managers.</w:t>
      </w:r>
    </w:p>
    <w:p>
      <w:pPr>
        <w:spacing w:after="0" w:line="1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received approximately $65.6 million in net proceeds after deducting underwriting discounts and commissions and offering costs payable by us. As of March 31, 2019, we had used approximately $31.5 million of the net proceeds from the offering for: operating expenses, capital investments, debt payments and the acquisition of Aushon.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initial public offering as described in our final prospectus filed with the SEC on December 7, 2017 pursuant to Rule 424(b)(4) under the Securities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520" w:type="dxa"/>
            <w:vAlign w:val="bottom"/>
            <w:gridSpan w:val="17"/>
          </w:tcPr>
          <w:p>
            <w:pPr>
              <w:ind w:left="60"/>
              <w:spacing w:after="0"/>
              <w:rPr>
                <w:sz w:val="20"/>
                <w:szCs w:val="20"/>
                <w:color w:val="auto"/>
              </w:rPr>
            </w:pPr>
            <w:r>
              <w:rPr>
                <w:rFonts w:ascii="Arial" w:cs="Arial" w:eastAsia="Arial" w:hAnsi="Arial"/>
                <w:sz w:val="18"/>
                <w:szCs w:val="18"/>
                <w:color w:val="auto"/>
                <w:w w:val="97"/>
              </w:rPr>
              <w:t>The following is a list of exhibits filed as part of this Quarterly Report on Form 10-Q.</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gridSpan w:val="11"/>
            <w:vMerge w:val="restart"/>
          </w:tcPr>
          <w:p>
            <w:pPr>
              <w:ind w:left="980"/>
              <w:spacing w:after="0"/>
              <w:rPr>
                <w:sz w:val="20"/>
                <w:szCs w:val="20"/>
                <w:color w:val="auto"/>
              </w:rPr>
            </w:pPr>
            <w:r>
              <w:rPr>
                <w:rFonts w:ascii="Arial" w:cs="Arial" w:eastAsia="Arial" w:hAnsi="Arial"/>
                <w:sz w:val="14"/>
                <w:szCs w:val="14"/>
                <w:b w:val="1"/>
                <w:bCs w:val="1"/>
                <w:color w:val="auto"/>
              </w:rPr>
              <w:t>Exhibit Description</w:t>
            </w:r>
          </w:p>
        </w:tc>
        <w:tc>
          <w:tcPr>
            <w:tcW w:w="24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Filing Date</w:t>
            </w:r>
          </w:p>
        </w:tc>
        <w:tc>
          <w:tcPr>
            <w:tcW w:w="22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w:t>
            </w:r>
          </w:p>
        </w:tc>
        <w:tc>
          <w:tcPr>
            <w:tcW w:w="0" w:type="dxa"/>
            <w:vAlign w:val="bottom"/>
          </w:tcPr>
          <w:p>
            <w:pPr>
              <w:spacing w:after="0"/>
              <w:rPr>
                <w:sz w:val="1"/>
                <w:szCs w:val="1"/>
                <w:color w:val="auto"/>
              </w:rPr>
            </w:pPr>
          </w:p>
        </w:tc>
      </w:tr>
      <w:tr>
        <w:trPr>
          <w:trHeight w:val="17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1"/>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2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gridSpan w:val="13"/>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Letter Agreement, dated February 14, 2019, between</w:t>
              </w:r>
            </w:hyperlink>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the Registrant and Amol Chaubal.</w:t>
              </w:r>
            </w:hyperlink>
          </w:p>
        </w:tc>
        <w:tc>
          <w:tcPr>
            <w:tcW w:w="42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tcBorders>
              <w:bottom w:val="single" w:sz="8" w:color="0000EE"/>
            </w:tcBorders>
            <w:gridSpan w:val="6"/>
          </w:tcPr>
          <w:p>
            <w:pPr>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Sales Agreement, dated March 19, 2019, by and</w:t>
              </w:r>
            </w:hyperlink>
          </w:p>
        </w:tc>
        <w:tc>
          <w:tcPr>
            <w:tcW w:w="76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S-3</w:t>
            </w:r>
          </w:p>
        </w:tc>
        <w:tc>
          <w:tcPr>
            <w:tcW w:w="1040" w:type="dxa"/>
            <w:vAlign w:val="bottom"/>
          </w:tcPr>
          <w:p>
            <w:pPr>
              <w:ind w:left="160"/>
              <w:spacing w:after="0"/>
              <w:rPr>
                <w:sz w:val="20"/>
                <w:szCs w:val="20"/>
                <w:color w:val="auto"/>
              </w:rPr>
            </w:pPr>
            <w:r>
              <w:rPr>
                <w:rFonts w:ascii="Arial" w:cs="Arial" w:eastAsia="Arial" w:hAnsi="Arial"/>
                <w:sz w:val="18"/>
                <w:szCs w:val="18"/>
                <w:color w:val="auto"/>
              </w:rPr>
              <w:t>3/19/2019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333-230399</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between the Registrant and Cowen &amp; Company, LLC.</w:t>
              </w:r>
            </w:hyperlink>
          </w:p>
        </w:tc>
        <w:tc>
          <w:tcPr>
            <w:tcW w:w="3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of the Principal Executive Officer</w:t>
              </w:r>
            </w:hyperlink>
          </w:p>
        </w:tc>
        <w:tc>
          <w:tcPr>
            <w:tcW w:w="840" w:type="dxa"/>
            <w:vAlign w:val="bottom"/>
            <w:gridSpan w:val="8"/>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40" w:type="dxa"/>
            <w:vAlign w:val="bottom"/>
            <w:gridSpan w:val="13"/>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pursuant to Section 302 of the Sarbanes-Oxley Act of</w:t>
              </w:r>
            </w:hyperlink>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2002.</w:t>
              </w:r>
            </w:hyperlink>
          </w:p>
        </w:tc>
        <w:tc>
          <w:tcPr>
            <w:tcW w:w="19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Certification of the Principal Financial Officer</w:t>
              </w:r>
            </w:hyperlink>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40" w:type="dxa"/>
            <w:vAlign w:val="bottom"/>
            <w:gridSpan w:val="13"/>
          </w:tcPr>
          <w:p>
            <w:pPr>
              <w:spacing w:after="0" w:line="196"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pursuant to Section 302 of the Sarbanes-Oxley Act of</w:t>
              </w:r>
            </w:hyperlink>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2002.</w:t>
              </w:r>
            </w:hyperlink>
          </w:p>
        </w:tc>
        <w:tc>
          <w:tcPr>
            <w:tcW w:w="19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Certifications of the Principal Executive Officer and</w:t>
              </w:r>
            </w:hyperlink>
          </w:p>
        </w:tc>
        <w:tc>
          <w:tcPr>
            <w:tcW w:w="460" w:type="dxa"/>
            <w:vAlign w:val="bottom"/>
            <w:gridSpan w:val="6"/>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Principal Financial Officer pursuant to Section 906 of</w:t>
              </w:r>
            </w:hyperlink>
          </w:p>
        </w:tc>
        <w:tc>
          <w:tcPr>
            <w:tcW w:w="36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the Sarbanes-Oxley Act of 2002.</w:t>
              </w:r>
            </w:hyperlink>
          </w:p>
        </w:tc>
        <w:tc>
          <w:tcPr>
            <w:tcW w:w="186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.INS</w:t>
            </w:r>
          </w:p>
        </w:tc>
        <w:tc>
          <w:tcPr>
            <w:tcW w:w="424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.SCH</w:t>
            </w:r>
          </w:p>
        </w:tc>
        <w:tc>
          <w:tcPr>
            <w:tcW w:w="42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.CAL</w:t>
            </w:r>
          </w:p>
        </w:tc>
        <w:tc>
          <w:tcPr>
            <w:tcW w:w="42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4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.DEF</w:t>
            </w:r>
          </w:p>
        </w:tc>
        <w:tc>
          <w:tcPr>
            <w:tcW w:w="4240" w:type="dxa"/>
            <w:vAlign w:val="bottom"/>
            <w:gridSpan w:val="13"/>
          </w:tcPr>
          <w:p>
            <w:pPr>
              <w:spacing w:after="0"/>
              <w:rPr>
                <w:sz w:val="20"/>
                <w:szCs w:val="20"/>
                <w:color w:val="auto"/>
              </w:rPr>
            </w:pPr>
            <w:r>
              <w:rPr>
                <w:rFonts w:ascii="Arial" w:cs="Arial" w:eastAsia="Arial" w:hAnsi="Arial"/>
                <w:sz w:val="18"/>
                <w:szCs w:val="18"/>
                <w:color w:val="auto"/>
              </w:rPr>
              <w:t>XBRL Taxonomy Extension Definition.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.LAB</w:t>
            </w:r>
          </w:p>
        </w:tc>
        <w:tc>
          <w:tcPr>
            <w:tcW w:w="42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4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.PRE</w:t>
            </w:r>
          </w:p>
        </w:tc>
        <w:tc>
          <w:tcPr>
            <w:tcW w:w="42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4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QUANTERIX CORPORATION</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May 10, 2019</w:t>
            </w:r>
          </w:p>
        </w:tc>
        <w:tc>
          <w:tcPr>
            <w:tcW w:w="262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E.Kevin Hrusovsky</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5"/>
              </w:rPr>
              <w:t>Chairman, President and Chief Executive Officer (principal executive</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Dated: May 10, 2019</w:t>
            </w:r>
          </w:p>
        </w:tc>
        <w:tc>
          <w:tcPr>
            <w:tcW w:w="262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Amol Chaubal</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62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154940</wp:posOffset>
            </wp:positionV>
            <wp:extent cx="1517650" cy="2101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1765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February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Amol Chaubal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Amol: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Quanterix Corporation (the “Company”) is pleased to offer you the full-time position of Chief Financial Officer, reporting to me, pending Board approval.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Your effective date of hire will be April 12, 2019. We are excited about the prospect of you joining our team.</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Salary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pay you a salary at an annual rate of $350,000, paid at a bi-weekly rate of $13,461.53 (subject to periodic review and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discretion of the Company).</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Bonus</w:t>
      </w:r>
      <w:r>
        <w:rPr>
          <w:rFonts w:ascii="Arial" w:cs="Arial" w:eastAsia="Arial" w:hAnsi="Arial"/>
          <w:sz w:val="18"/>
          <w:szCs w:val="18"/>
          <w:i w:val="1"/>
          <w:iCs w:val="1"/>
          <w:color w:val="auto"/>
        </w:rPr>
        <w:t xml:space="preserve">: </w:t>
      </w:r>
      <w:r>
        <w:rPr>
          <w:rFonts w:ascii="Arial" w:cs="Arial" w:eastAsia="Arial" w:hAnsi="Arial"/>
          <w:sz w:val="18"/>
          <w:szCs w:val="18"/>
          <w:color w:val="auto"/>
        </w:rPr>
        <w:t>You will be eligible to receive an annual performance bonus. The Company will target the bonus at up to 40% of your annual base salary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The actual bonus percentage is discretionary and will be subject to your achievement of the metrics and goals established by and agreed to with Kevin Hrusovsky. The bonus also will be subject to your employment for the full period covered by the bonus, approval by and adjustment at the discretion of the Company and Company’s Board of Directors, and the terms of any applicable bonus plan. You must be actively employed by Quanterix on the date the bonus is paid to receive a performance bonus.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You will be eligible to participate in the employee benefits and insurance programs generally made available to its full-time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insurance, dental insurance, 401K Plan and match, ESPP, Flexible Spending Account, term life insurance, and short and long term disability insurance. Details of these benefits programs, including mandatory employee contributions, will be made available to you when you start. You also will be eligible to receive paid vacation time. You will be eligible for up to 20 days of paid vacation per year, which shall accrue on a prorated basis. Other provisions of the Company’s vacation policy are set forth in the policy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1069975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128905</wp:posOffset>
            </wp:positionV>
            <wp:extent cx="6174740" cy="737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174740" cy="7372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line="269" w:lineRule="auto"/>
        <w:rPr>
          <w:sz w:val="20"/>
          <w:szCs w:val="20"/>
          <w:color w:val="auto"/>
        </w:rPr>
      </w:pPr>
      <w:r>
        <w:rPr>
          <w:rFonts w:ascii="Arial" w:cs="Arial" w:eastAsia="Arial" w:hAnsi="Arial"/>
          <w:sz w:val="17"/>
          <w:szCs w:val="17"/>
          <w:i w:val="1"/>
          <w:iCs w:val="1"/>
          <w:u w:val="single" w:color="auto"/>
          <w:color w:val="auto"/>
        </w:rPr>
        <w:t>Stock Options &amp; RSUs</w:t>
      </w:r>
      <w:r>
        <w:rPr>
          <w:rFonts w:ascii="Arial" w:cs="Arial" w:eastAsia="Arial" w:hAnsi="Arial"/>
          <w:sz w:val="17"/>
          <w:szCs w:val="17"/>
          <w:i w:val="1"/>
          <w:iCs w:val="1"/>
          <w:color w:val="auto"/>
        </w:rPr>
        <w:t xml:space="preserve">: </w:t>
      </w:r>
      <w:r>
        <w:rPr>
          <w:rFonts w:ascii="Arial" w:cs="Arial" w:eastAsia="Arial" w:hAnsi="Arial"/>
          <w:sz w:val="17"/>
          <w:szCs w:val="17"/>
          <w:color w:val="auto"/>
        </w:rPr>
        <w:t>You will be eligible to participate in the Company’s stock option program, subject to approval by the Compensation Committee.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recommend to the Compensation Committee to approve that you be granted a new hire award of 18,259 Restricted Stock Units (“RSUs”) and an option to purchase 62,270 shares (“Options”) of the Company’s common stock at the stock’s fair market value on the later of (i) approval by the compensation committee or (ii) your effective date of employment. The RSUs and Options will vest over four years, with 25% vesting on the first anniversary of your start date, and the remaining vesting ratably on a monthly basis over the next three years. Notwithstanding the foregoing, in the event of the Company’s consummation of a Sale Event (as defined below) within the first eighteen (18) months after your effective date of employment and while you remain employed by the Company, then: (1) you immediately will vest in fifty percent (50%) of any unvested outstanding portion of the RSUs and Options (with any such vesting, as stated below, pursuant to the terms and conditions of the Quanterix 2017 Employee, Director and Consultant Equity Incentive Plan and any associated agreement required to be entered into by you and the Company), and (2) any remaining unvested RSUs and Options (after giving effect to the aforementioned vesting acceleration) will vest on the original vesting schedule applicable to the RSUs and Options, with the vesting amounts to be reduced and pro-rated to reflect the above-described acceleration.</w:t>
      </w:r>
    </w:p>
    <w:p>
      <w:pPr>
        <w:spacing w:after="0" w:line="1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You will also be eligible to receive an annual equity grant subject to approval by the Compensation Committee and in the same manner as the awards provided to other senior executive officers of the Company. The Company will target a grant date fair value of the annual equity awards of up to $480,000 based upon Black Scholes Value. The actual value of the awards will be discretionary and will be subject to your achievement of the metrics and goals established by and agreed to with Kevin Hrusovsky.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Your eligibility for equity awards will be governed by the Quanterix 2017 Employee, Director and Consultant Equity Incentive Plan and any associated agreement required to be entered into by you and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At-Will Employment; Accrued Obligations; Severance</w:t>
      </w:r>
      <w:r>
        <w:rPr>
          <w:rFonts w:ascii="Arial" w:cs="Arial" w:eastAsia="Arial" w:hAnsi="Arial"/>
          <w:sz w:val="18"/>
          <w:szCs w:val="18"/>
          <w:i w:val="1"/>
          <w:iCs w:val="1"/>
          <w:color w:val="auto"/>
        </w:rPr>
        <w:t>.</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Your employment is “at will,” meaning you or the Company may terminate it at any time for any or no reason. In the event of the termination of your employment for any reason, the Company shall pay you the “Accrued Obligations,” defined as (1) your base salary through the date of termination, (2) an amount equal to the value of your accrued unused vacation days, and (3) the amount of any expenses properly incurred by you on behalf of the Company prior to any such termination and not 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reimbursed. In addition, in the event the Company terminates your employment without Cause or you resign for Good Reason (both as defined below),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shall provide you with the following termination benefits (the “Termination Benefits”):</w:t>
      </w:r>
    </w:p>
    <w:p>
      <w:pPr>
        <w:spacing w:after="0" w:line="211" w:lineRule="exact"/>
        <w:rPr>
          <w:sz w:val="20"/>
          <w:szCs w:val="20"/>
          <w:color w:val="auto"/>
        </w:rPr>
      </w:pPr>
    </w:p>
    <w:p>
      <w:pPr>
        <w:jc w:val="both"/>
        <w:ind w:left="660" w:right="40" w:hanging="4"/>
        <w:spacing w:after="0" w:line="259" w:lineRule="auto"/>
        <w:tabs>
          <w:tab w:leader="none" w:pos="13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continuation of your base salary for a period of six (6) months after the date of termination at the salary rate then in effect (“Salary Continuation Payments”) (solely for purposes of Section 409A of the Internal Revenue Code of 1986, as amended, each Salary Continuation Payment is considered a separate payment). RSU’s and Options that otherwise would have vested during this severance period will vest and will not be forfeited;</w:t>
      </w:r>
    </w:p>
    <w:p>
      <w:pPr>
        <w:spacing w:after="0" w:line="186" w:lineRule="exact"/>
        <w:rPr>
          <w:rFonts w:ascii="Arial" w:cs="Arial" w:eastAsia="Arial" w:hAnsi="Arial"/>
          <w:sz w:val="18"/>
          <w:szCs w:val="18"/>
          <w:color w:val="auto"/>
        </w:rPr>
      </w:pPr>
    </w:p>
    <w:p>
      <w:pPr>
        <w:ind w:left="660" w:hanging="4"/>
        <w:spacing w:after="0" w:line="287" w:lineRule="auto"/>
        <w:tabs>
          <w:tab w:leader="none" w:pos="137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continuation of group health plan benefits to the extent authorized by and consistent with 29 U.S.C. § 1161 et seq. (commonly known as “COBRA”), with the cost of the regular premium for such benefits shared in the same relative proportion by the Company and you as in effect on the date of termination until the earlier of (i) six (6) months from the termination date; or (ii) the date you become eligible for health benefits through another employer or otherwise become ineligible for COBRA (“Health Benefits Continuation Payments”). Notwithstanding the above, if the Company determines in its sole discretion that it cannot provide the foregoing Health Benefits Continuation Payments without potentially violating applicable law (including but not limited to the 2010 Patient Protection and Affordable Care Act, as amended by the 2010 Health Care and Education Reconciliation Act), the Company shall in lieu thereof provide to you a taxable monthly payment in an amount equal to the Company’s portion of the monthly COBRA premium (as described above)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(y) the date upon which you obtain other employment; or (z) the last day of the sixth (6th) calendar month following your termination date;</w:t>
      </w:r>
    </w:p>
    <w:p>
      <w:pPr>
        <w:spacing w:after="0" w:line="172" w:lineRule="exact"/>
        <w:rPr>
          <w:rFonts w:ascii="Arial" w:cs="Arial" w:eastAsia="Arial" w:hAnsi="Arial"/>
          <w:sz w:val="16"/>
          <w:szCs w:val="16"/>
          <w:color w:val="auto"/>
        </w:rPr>
      </w:pPr>
    </w:p>
    <w:p>
      <w:pPr>
        <w:ind w:left="660" w:right="60" w:hanging="4"/>
        <w:spacing w:after="0" w:line="288"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if the date of termination occurs within the twelve (12) month period immediately following a Sale Event (such a termination a “Sale Event Termination”), then your Salary Continuation Payments and Health Benefits Continuation Payments shall continue for a period of twelve (12) months after the date of termination (such 12 month continuation period to be </w:t>
      </w:r>
      <w:r>
        <w:rPr>
          <w:rFonts w:ascii="Arial" w:cs="Arial" w:eastAsia="Arial" w:hAnsi="Arial"/>
          <w:sz w:val="16"/>
          <w:szCs w:val="16"/>
          <w:i w:val="1"/>
          <w:iCs w:val="1"/>
          <w:color w:val="auto"/>
        </w:rPr>
        <w:t>in lieu</w:t>
      </w:r>
      <w:r>
        <w:rPr>
          <w:rFonts w:ascii="Arial" w:cs="Arial" w:eastAsia="Arial" w:hAnsi="Arial"/>
          <w:sz w:val="16"/>
          <w:szCs w:val="16"/>
          <w:color w:val="auto"/>
        </w:rPr>
        <w:t xml:space="preserve"> of, and not in addition to, the 6-month period referenced in</w:t>
      </w: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(ii) above);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both"/>
        <w:ind w:left="660" w:right="40" w:hanging="4"/>
        <w:spacing w:after="0" w:line="264" w:lineRule="auto"/>
        <w:tabs>
          <w:tab w:leader="none" w:pos="13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Sale Event Termination occurs after the first eighteen (18) months after your effective date of employment, you will receive additional vesting of all outstanding equity awards held by you (including the Options and RSUs) equal to an amount that would have vested during the twelve (12) month Salary Continuation Payments period.</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Notwithstanding anything to the contrary in this agreement, you shall not be entitled to any Termination Benefits unless you first (i) enter into, do not revoke, and comply with the terms of a separation agreement in a form acceptable to the Company, which shall include a general release in favor of the Company and related persons and entities (the “Release”); (ii) resign from any and all positions, including, without implication of limitation, as a director, trustee, and officer, that you then hold with the Company and any affiliate of the Company; (iii) comply with the terms of your Non-Competition, Non-Solicitation, Confidentiality and Assignment Agreement; and (iv) return all Company property and comply with any instructions related to deleting and purging duplicates of such Company property. 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first Salary Continuation Payment, the first Salary Continuation Payment shall include a “catch up” payment.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w:t>
      </w:r>
    </w:p>
    <w:p>
      <w:pPr>
        <w:spacing w:after="0" w:line="225"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xml:space="preserve">” means the occurrence of any of the following (and, if applicable, that the Company has complied with the Cause Process (hereinafter defined) following the occurrence of a circumstance subject to the Cause Process): (i) theft, fraud, embezzlement, misappropriation of assets or property of the Company; (ii) dishonesty, gross negligence, misconduct, neglect of duties, or breach of fiduciary duty to the Company; (iii) violation of federal or state securities laws; (iv) breach of an employment, consulting or other agreement with the Company; (v) the conviction of a felony, or any crime involving moral turpitude, including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or (vi) continued non-performance or unsatisfactory performance of your responsibilities hereunder. “Cause Process” means that (1) the Company has reasonably determined in good faith that a “Cause” condition has occurred; (2) the Company has notified you in writing of the first occurrence of the Cause condition within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ind w:right="140"/>
        <w:spacing w:after="0" w:line="272" w:lineRule="auto"/>
        <w:rPr>
          <w:sz w:val="20"/>
          <w:szCs w:val="20"/>
          <w:color w:val="auto"/>
        </w:rPr>
      </w:pPr>
      <w:r>
        <w:rPr>
          <w:rFonts w:ascii="Arial" w:cs="Arial" w:eastAsia="Arial" w:hAnsi="Arial"/>
          <w:sz w:val="17"/>
          <w:szCs w:val="17"/>
          <w:color w:val="auto"/>
        </w:rPr>
        <w:t>days of the first occurrence of such condition; (3) you are provided a period of 30 days following such notice (the “Cause Cure Period”) to remedy the condition; (4) notwithstanding such efforts, the Company reasonably and in good faith determines at the end of the Cause Cure Period that the Cause condition continues to exist; and (5) the Company terminates your employment within 30 days after the end of the Cause Cure Period. If you cure the Cause condition during the Cause Cure Period, Cause shall be deemed not to have occurred. The Company shall not be required to follow the Cause Process as to those conditions which it reasonably determines in good faith cannot be cured within the Cause Cure Period. For the avoidance of doubt, you and the Company acknowledge and agree that clauses (i), (iii) and (v) cannot be cured, and shall not be subject to the requirements of the Cause Process.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that you have complied with the “Good Reason Process” (hereinafter defined) following the occurrence of any of the following actions undertaken by the Company without your express prior written consent: (i) the material diminution in your responsibilities, authority and function; (ii) a material reduction in your base salary, provided, however, that Good Reason shall not be deemed to have occurred in the event of a reduction in your base salary that is pursuant to a salary reduction program affecting substantially all of the senior level employees of the Company and that does not adversely affect you to a greater extent than other similarly situated employees; (iii) a material change in the geographic location at which you must regularly report to work and perform services, except for required travel on the Company’s business; or (iv) a material breach by the Company of any of its obligations to you under its agreements with you. “Good Reason Process” means that (1) you have reasonably determined in good faith that a “Good Reason” condition has occurred; (2) you have notified the Company in writing of the first occurrence of the Good Reason condition within 30 days of the first occurrence of such condition; (3) the Company is provided with a period of 30 days following such notice (the “Cure Period”) to remedy the condition; (4) notwithstanding such efforts, you reasonably and in good faith determine at the end of the Cure Period that the Good Reason condition continues to exist; and (5) you terminate your employment within 30 days after the end of the Cure Period. If the Company cures the Good Reason condition during the Cure Period, Good Reason shall be deemed not to have occurred.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Event</w:t>
      </w:r>
      <w:r>
        <w:rPr>
          <w:rFonts w:ascii="Arial" w:cs="Arial" w:eastAsia="Arial" w:hAnsi="Arial"/>
          <w:sz w:val="18"/>
          <w:szCs w:val="18"/>
          <w:color w:val="auto"/>
        </w:rPr>
        <w:t>” means the consummation of: (i) the sale of all or substantially all of the assets of the Company and its Subsidiaries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0" w:name="page41"/>
    <w:bookmarkEnd w:id="40"/>
    <w:p>
      <w:pPr>
        <w:ind w:left="660" w:right="220"/>
        <w:spacing w:after="0" w:line="279" w:lineRule="auto"/>
        <w:rPr>
          <w:sz w:val="20"/>
          <w:szCs w:val="20"/>
          <w:color w:val="auto"/>
        </w:rPr>
      </w:pPr>
      <w:r>
        <w:rPr>
          <w:rFonts w:ascii="Arial" w:cs="Arial" w:eastAsia="Arial" w:hAnsi="Arial"/>
          <w:sz w:val="17"/>
          <w:szCs w:val="17"/>
          <w:color w:val="auto"/>
        </w:rPr>
        <w:t>a consolidated basis to an unrelated person or entity; or (ii) a merger, reorganization or consolidation in which the outstanding shares of Stock are converted into or exchanged for securities of the successor entity and the holders of the Company’s outstanding voting power immediately prior to such transaction do not own at least a majority of the outstanding voting power of the successor entity immediately upon completion of such transaction (taking into account only ownership interests resulting from pre-transaction interests in the Company).</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u w:val="single" w:color="auto"/>
          <w:color w:val="auto"/>
        </w:rPr>
        <w:t>Representation Regarding Other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This offer is conditioned on your representation that you are not subject to any confidentiality, non-competition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any other similar type of restriction that may affect your ability to devote full time and attention to your work at the Company. If you have entered into any agreement that may restrict your activities on behalf of the Company, please provide me with a copy of the agreement as soon as possible.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Other Terms</w:t>
      </w:r>
      <w:r>
        <w:rPr>
          <w:rFonts w:ascii="Arial" w:cs="Arial" w:eastAsia="Arial" w:hAnsi="Arial"/>
          <w:sz w:val="18"/>
          <w:szCs w:val="18"/>
          <w:i w:val="1"/>
          <w:iCs w:val="1"/>
          <w:color w:val="auto"/>
        </w:rPr>
        <w:t xml:space="preserve">: </w:t>
      </w:r>
      <w:r>
        <w:rPr>
          <w:rFonts w:ascii="Arial" w:cs="Arial" w:eastAsia="Arial" w:hAnsi="Arial"/>
          <w:sz w:val="18"/>
          <w:szCs w:val="18"/>
          <w:color w:val="auto"/>
        </w:rPr>
        <w:t>Your employment with the Company shall be on an at-will basis. In other words, you or the Company may terminate employment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and at any time, with or without notice. Similarly, the terms of employment outlined in this letter are subject to change at any time. You also will be required to sign the Company’s standard “Employee Non-Competition, Non-Solicitation, Confidentiality and Assignment Agreement” as a condition of your employment. A copy of that Agreement is enclosed. In addition, as with all employees, our offer to you is contingent on your submission of satisfactory proof of your identity and your legal authorization to work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are excited about the opportunity to work with you at Quanterix. If you have any questions about this information, please do not hesitate to call.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Otherwise, please confirm your acceptance of this offer of employment by signing below and returning a copy to me no later than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We are confident that with your background and skills, you will have an immediate positive impact on our organization.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 and Chairman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Offer accepted: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/s/ Amol Chaubal</w:t>
            </w:r>
          </w:p>
        </w:tc>
        <w:tc>
          <w:tcPr>
            <w:tcW w:w="5700" w:type="dxa"/>
            <w:vAlign w:val="bottom"/>
          </w:tcPr>
          <w:p>
            <w:pPr>
              <w:spacing w:after="0"/>
              <w:rPr>
                <w:sz w:val="20"/>
                <w:szCs w:val="20"/>
                <w:color w:val="auto"/>
              </w:rPr>
            </w:pPr>
            <w:r>
              <w:rPr>
                <w:rFonts w:ascii="Arial" w:cs="Arial" w:eastAsia="Arial" w:hAnsi="Arial"/>
                <w:sz w:val="18"/>
                <w:szCs w:val="18"/>
                <w:color w:val="auto"/>
              </w:rPr>
              <w:t>2/14/2019</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Amol Chaubal</w:t>
            </w:r>
          </w:p>
        </w:tc>
        <w:tc>
          <w:tcPr>
            <w:tcW w:w="2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140" w:hanging="4"/>
        <w:spacing w:after="0" w:line="264" w:lineRule="auto"/>
        <w:tabs>
          <w:tab w:leader="none" w:pos="12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13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40" w:hanging="4"/>
        <w:spacing w:after="0" w:line="342" w:lineRule="auto"/>
        <w:tabs>
          <w:tab w:leader="none" w:pos="1313"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20" w:hanging="4"/>
        <w:spacing w:after="0" w:line="264" w:lineRule="auto"/>
        <w:tabs>
          <w:tab w:leader="none" w:pos="13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8"/>
        <w:spacing w:after="0" w:line="308" w:lineRule="auto"/>
        <w:tabs>
          <w:tab w:leader="none" w:pos="6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80" w:hanging="4"/>
        <w:spacing w:after="0" w:line="308" w:lineRule="auto"/>
        <w:tabs>
          <w:tab w:leader="none" w:pos="129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60" w:hanging="4"/>
        <w:spacing w:after="0" w:line="277" w:lineRule="auto"/>
        <w:tabs>
          <w:tab w:leader="none" w:pos="13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Amol Chaubal,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140" w:hanging="4"/>
        <w:spacing w:after="0" w:line="264" w:lineRule="auto"/>
        <w:tabs>
          <w:tab w:leader="none" w:pos="12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13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40" w:hanging="4"/>
        <w:spacing w:after="0" w:line="342" w:lineRule="auto"/>
        <w:tabs>
          <w:tab w:leader="none" w:pos="1313"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20" w:hanging="4"/>
        <w:spacing w:after="0" w:line="264" w:lineRule="auto"/>
        <w:tabs>
          <w:tab w:leader="none" w:pos="13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8"/>
        <w:spacing w:after="0" w:line="308" w:lineRule="auto"/>
        <w:tabs>
          <w:tab w:leader="none" w:pos="6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80" w:hanging="4"/>
        <w:spacing w:after="0" w:line="308" w:lineRule="auto"/>
        <w:tabs>
          <w:tab w:leader="none" w:pos="1299"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60" w:hanging="4"/>
        <w:spacing w:after="0" w:line="277" w:lineRule="auto"/>
        <w:tabs>
          <w:tab w:leader="none" w:pos="13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Amol Chaubal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10480"/>
        <w:spacing w:after="0"/>
        <w:rPr>
          <w:sz w:val="20"/>
          <w:szCs w:val="20"/>
          <w:color w:val="auto"/>
        </w:rPr>
      </w:pPr>
      <w:r>
        <w:rPr>
          <w:rFonts w:ascii="Arial" w:cs="Arial" w:eastAsia="Arial" w:hAnsi="Arial"/>
          <w:sz w:val="17"/>
          <w:szCs w:val="17"/>
          <w:b w:val="1"/>
          <w:bCs w:val="1"/>
          <w:color w:val="auto"/>
        </w:rPr>
        <w:t>Exhibit 32.1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Quarterly Report for the period ended March 31, 2019 (the “Form 10-Q”) of the Company fully complies with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13(a) or 15(d) of the Securities Exchange Act of 1934, and the information contained in the Form 10-Q fairly presents, in all material respects,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660"/>
              <w:spacing w:after="0"/>
              <w:rPr>
                <w:sz w:val="20"/>
                <w:szCs w:val="20"/>
                <w:color w:val="auto"/>
              </w:rPr>
            </w:pPr>
            <w:r>
              <w:rPr>
                <w:rFonts w:ascii="Arial" w:cs="Arial" w:eastAsia="Arial" w:hAnsi="Arial"/>
                <w:sz w:val="18"/>
                <w:szCs w:val="18"/>
                <w:color w:val="auto"/>
              </w:rPr>
              <w:t>Dated: May 10,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40" w:type="dxa"/>
            <w:vAlign w:val="bottom"/>
          </w:tcPr>
          <w:p>
            <w:pPr>
              <w:spacing w:after="0"/>
              <w:rPr>
                <w:sz w:val="20"/>
                <w:szCs w:val="20"/>
                <w:color w:val="auto"/>
              </w:rPr>
            </w:pPr>
          </w:p>
        </w:tc>
      </w:tr>
      <w:tr>
        <w:trPr>
          <w:trHeight w:val="648"/>
        </w:trPr>
        <w:tc>
          <w:tcPr>
            <w:tcW w:w="5720" w:type="dxa"/>
            <w:vAlign w:val="bottom"/>
          </w:tcPr>
          <w:p>
            <w:pPr>
              <w:ind w:left="660"/>
              <w:spacing w:after="0"/>
              <w:rPr>
                <w:sz w:val="20"/>
                <w:szCs w:val="20"/>
                <w:color w:val="auto"/>
              </w:rPr>
            </w:pPr>
            <w:r>
              <w:rPr>
                <w:rFonts w:ascii="Arial" w:cs="Arial" w:eastAsia="Arial" w:hAnsi="Arial"/>
                <w:sz w:val="18"/>
                <w:szCs w:val="18"/>
                <w:color w:val="auto"/>
              </w:rPr>
              <w:t>Dated: May 10,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c>
          <w:tcPr>
            <w:tcW w:w="40" w:type="dxa"/>
            <w:vAlign w:val="bottom"/>
          </w:tcPr>
          <w:p>
            <w:pPr>
              <w:spacing w:after="0"/>
              <w:rPr>
                <w:sz w:val="24"/>
                <w:szCs w:val="24"/>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Amol Chaubal</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1"/>
    </w:lvl>
  </w:abstractNum>
  <w:abstractNum w:abstractNumId="4">
    <w:nsid w:val="5BD062C2"/>
    <w:multiLevelType w:val="hybridMultilevel"/>
    <w:lvl w:ilvl="0">
      <w:lvlJc w:val="left"/>
      <w:lvlText w:val="(%1)"/>
      <w:numFmt w:val="lowerRoman"/>
      <w:start w:val="3"/>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58" Type="http://schemas.openxmlformats.org/officeDocument/2006/relationships/hyperlink" Target="http://www.sec.gov/Archives/edgar/data/1503274/000104746919001423/a2237936z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2019-12-28T11:57:41Z</dcterms:created>
  <dcterms:modified xsi:type="dcterms:W3CDTF">2019-12-28T11:57:41Z</dcterms:modified>
</cp:coreProperties>
</file>