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75"/>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5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 of each class:</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2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42" w:lineRule="exact"/>
        <w:tabs>
          <w:tab w:leader="none" w:pos="5080" w:val="left"/>
          <w:tab w:leader="none" w:pos="5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jc w:val="both"/>
        <w:ind w:left="20" w:right="5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20" w:right="26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jc w:val="center"/>
              <w:ind w:left="21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jc w:val="center"/>
              <w:ind w:left="21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jc w:val="center"/>
              <w:ind w:left="21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July 30, 2020, the registrant had 28,440,339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74"/>
        </w:trPr>
        <w:tc>
          <w:tcPr>
            <w:tcW w:w="852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4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40" w:type="dxa"/>
            <w:vAlign w:val="bottom"/>
            <w:gridSpan w:val="4"/>
          </w:tcPr>
          <w:p>
            <w:pPr>
              <w:jc w:val="center"/>
              <w:ind w:right="23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380" w:type="dxa"/>
            <w:vAlign w:val="bottom"/>
          </w:tcPr>
          <w:p>
            <w:pPr>
              <w:spacing w:after="0"/>
              <w:rPr>
                <w:sz w:val="24"/>
                <w:szCs w:val="24"/>
                <w:color w:val="auto"/>
              </w:rPr>
            </w:pPr>
          </w:p>
        </w:tc>
      </w:tr>
      <w:tr>
        <w:trPr>
          <w:trHeight w:val="418"/>
        </w:trPr>
        <w:tc>
          <w:tcPr>
            <w:tcW w:w="852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20" w:type="dxa"/>
            <w:vAlign w:val="bottom"/>
            <w:gridSpan w:val="9"/>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 at June 30, 2020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8520" w:type="dxa"/>
            <w:vAlign w:val="bottom"/>
            <w:gridSpan w:val="9"/>
          </w:tcPr>
          <w:p>
            <w:pPr>
              <w:ind w:left="440"/>
              <w:spacing w:after="0" w:line="190"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Consolidated Statements of Operations for the Three and Six Months Ended June 30,</w:t>
              </w:r>
            </w:hyperlink>
          </w:p>
        </w:tc>
        <w:tc>
          <w:tcPr>
            <w:tcW w:w="380" w:type="dxa"/>
            <w:vAlign w:val="bottom"/>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w:t>
              </w:r>
            </w:hyperlink>
          </w:p>
        </w:tc>
        <w:tc>
          <w:tcPr>
            <w:tcW w:w="3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520" w:type="dxa"/>
            <w:vAlign w:val="bottom"/>
            <w:gridSpan w:val="9"/>
          </w:tcPr>
          <w:p>
            <w:pPr>
              <w:ind w:left="44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Comprehensive Loss for the Three and Six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June 30, 2020 and 2019</w:t>
              </w:r>
            </w:hyperlink>
          </w:p>
        </w:tc>
        <w:tc>
          <w:tcPr>
            <w:tcW w:w="5900" w:type="dxa"/>
            <w:vAlign w:val="bottom"/>
            <w:tcBorders>
              <w:top w:val="single" w:sz="8" w:color="0000EE"/>
            </w:tcBorders>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520" w:type="dxa"/>
            <w:vAlign w:val="bottom"/>
            <w:gridSpan w:val="9"/>
          </w:tcPr>
          <w:p>
            <w:pPr>
              <w:ind w:left="440"/>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Condensed Consolidated Statements of Cash Flows for the Six Months Ended June 30, 2020 and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520" w:type="dxa"/>
            <w:vAlign w:val="bottom"/>
            <w:gridSpan w:val="9"/>
          </w:tcPr>
          <w:p>
            <w:pPr>
              <w:ind w:left="44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Unaudited Condensed Consolidated Statements of Stockholders’ Equity for the Three and Six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June 30, 2020 and 2019</w:t>
              </w:r>
            </w:hyperlink>
          </w:p>
        </w:tc>
        <w:tc>
          <w:tcPr>
            <w:tcW w:w="592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37"/>
        </w:trPr>
        <w:tc>
          <w:tcPr>
            <w:tcW w:w="8520" w:type="dxa"/>
            <w:vAlign w:val="bottom"/>
            <w:gridSpan w:val="9"/>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40" w:type="dxa"/>
            <w:vAlign w:val="bottom"/>
            <w:gridSpan w:val="4"/>
          </w:tcPr>
          <w:p>
            <w:pPr>
              <w:jc w:val="center"/>
              <w:ind w:right="240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 OTHER INFORMATION</w:t>
              </w:r>
            </w:hyperlink>
          </w:p>
        </w:tc>
        <w:tc>
          <w:tcPr>
            <w:tcW w:w="380" w:type="dxa"/>
            <w:vAlign w:val="bottom"/>
          </w:tcPr>
          <w:p>
            <w:pPr>
              <w:spacing w:after="0"/>
              <w:rPr>
                <w:sz w:val="24"/>
                <w:szCs w:val="24"/>
                <w:color w:val="auto"/>
              </w:rPr>
            </w:pP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 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 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 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 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5.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6. 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520" w:type="dxa"/>
            <w:vAlign w:val="bottom"/>
            <w:gridSpan w:val="9"/>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2019, as updated by “Part II, Item 1A, Risk Factors” of our Quarterly Report on Form 10-Q for the quarter ended March 31, 2020,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2020</w:t>
            </w:r>
          </w:p>
        </w:tc>
        <w:tc>
          <w:tcPr>
            <w:tcW w:w="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r>
      <w:tr>
        <w:trPr>
          <w:trHeight w:val="196"/>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88,806</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109,155</w:t>
            </w:r>
          </w:p>
        </w:tc>
      </w:tr>
      <w:tr>
        <w:trPr>
          <w:trHeight w:val="193"/>
        </w:trPr>
        <w:tc>
          <w:tcPr>
            <w:tcW w:w="6140" w:type="dxa"/>
            <w:vAlign w:val="bottom"/>
          </w:tcPr>
          <w:p>
            <w:pPr>
              <w:ind w:left="100"/>
              <w:spacing w:after="0"/>
              <w:rPr>
                <w:sz w:val="20"/>
                <w:szCs w:val="20"/>
                <w:color w:val="auto"/>
              </w:rPr>
            </w:pPr>
            <w:r>
              <w:rPr>
                <w:rFonts w:ascii="Arial" w:cs="Arial" w:eastAsia="Arial" w:hAnsi="Arial"/>
                <w:sz w:val="16"/>
                <w:szCs w:val="16"/>
                <w:color w:val="auto"/>
              </w:rPr>
              <w:t>Accounts receivable (less reserve for doubtful accounts of $315 and $162 as 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140" w:type="dxa"/>
            <w:vAlign w:val="bottom"/>
          </w:tcPr>
          <w:p>
            <w:pPr>
              <w:ind w:left="100"/>
              <w:spacing w:after="0"/>
              <w:rPr>
                <w:sz w:val="20"/>
                <w:szCs w:val="20"/>
                <w:color w:val="auto"/>
              </w:rPr>
            </w:pPr>
            <w:r>
              <w:rPr>
                <w:rFonts w:ascii="Arial" w:cs="Arial" w:eastAsia="Arial" w:hAnsi="Arial"/>
                <w:sz w:val="16"/>
                <w:szCs w:val="16"/>
                <w:color w:val="auto"/>
                <w:w w:val="93"/>
              </w:rPr>
              <w:t>June 30, 2020 and December 31, 2019, respectively; including $108 and $186 from related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140" w:type="dxa"/>
            <w:vAlign w:val="bottom"/>
          </w:tcPr>
          <w:p>
            <w:pPr>
              <w:ind w:left="100"/>
              <w:spacing w:after="0"/>
              <w:rPr>
                <w:sz w:val="20"/>
                <w:szCs w:val="20"/>
                <w:color w:val="auto"/>
              </w:rPr>
            </w:pPr>
            <w:r>
              <w:rPr>
                <w:rFonts w:ascii="Arial" w:cs="Arial" w:eastAsia="Arial" w:hAnsi="Arial"/>
                <w:sz w:val="16"/>
                <w:szCs w:val="16"/>
                <w:color w:val="auto"/>
              </w:rPr>
              <w:t>parties as of June 30, 2020 and December 31, 2019,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10,906</w:t>
            </w:r>
          </w:p>
        </w:tc>
      </w:tr>
      <w:tr>
        <w:trPr>
          <w:trHeight w:val="205"/>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10,463</w:t>
            </w:r>
          </w:p>
        </w:tc>
      </w:tr>
      <w:tr>
        <w:trPr>
          <w:trHeight w:val="203"/>
        </w:trPr>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r>
      <w:tr>
        <w:trPr>
          <w:trHeight w:val="196"/>
        </w:trPr>
        <w:tc>
          <w:tcPr>
            <w:tcW w:w="6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132,661</w:t>
            </w: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12,047</w:t>
            </w: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14,307</w:t>
            </w: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9,353</w:t>
            </w: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Right-of-use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36"/>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162,940</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169,951</w:t>
            </w:r>
          </w:p>
        </w:tc>
      </w:tr>
      <w:tr>
        <w:trPr>
          <w:trHeight w:val="183"/>
        </w:trPr>
        <w:tc>
          <w:tcPr>
            <w:tcW w:w="61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 (including $16 and $36 to related parties as of June 30, 2020 and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2019, respectively)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r>
      <w:tr>
        <w:trPr>
          <w:trHeight w:val="203"/>
        </w:trPr>
        <w:tc>
          <w:tcPr>
            <w:tcW w:w="6140" w:type="dxa"/>
            <w:vAlign w:val="bottom"/>
          </w:tcPr>
          <w:p>
            <w:pPr>
              <w:ind w:left="10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193"/>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Other accrued expenses (including $228 and $0 to related parties as of June 30, 2020 and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2019, respectively)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w:t>
            </w:r>
          </w:p>
        </w:tc>
      </w:tr>
      <w:tr>
        <w:trPr>
          <w:trHeight w:val="193"/>
        </w:trPr>
        <w:tc>
          <w:tcPr>
            <w:tcW w:w="6140" w:type="dxa"/>
            <w:vAlign w:val="bottom"/>
          </w:tcPr>
          <w:p>
            <w:pPr>
              <w:ind w:left="100"/>
              <w:spacing w:after="0"/>
              <w:rPr>
                <w:sz w:val="20"/>
                <w:szCs w:val="20"/>
                <w:color w:val="auto"/>
              </w:rPr>
            </w:pPr>
            <w:r>
              <w:rPr>
                <w:rFonts w:ascii="Arial" w:cs="Arial" w:eastAsia="Arial" w:hAnsi="Arial"/>
                <w:sz w:val="16"/>
                <w:szCs w:val="16"/>
                <w:color w:val="auto"/>
                <w:w w:val="99"/>
              </w:rPr>
              <w:t>Deferred revenue (including $15 and $55 with related parties as of June 30, 2020 and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6140" w:type="dxa"/>
            <w:vAlign w:val="bottom"/>
          </w:tcPr>
          <w:p>
            <w:pPr>
              <w:ind w:left="100"/>
              <w:spacing w:after="0"/>
              <w:rPr>
                <w:sz w:val="20"/>
                <w:szCs w:val="20"/>
                <w:color w:val="auto"/>
              </w:rPr>
            </w:pPr>
            <w:r>
              <w:rPr>
                <w:rFonts w:ascii="Arial" w:cs="Arial" w:eastAsia="Arial" w:hAnsi="Arial"/>
                <w:sz w:val="16"/>
                <w:szCs w:val="16"/>
                <w:color w:val="auto"/>
              </w:rPr>
              <w:t>December 31, 2019,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4,697</w:t>
            </w:r>
          </w:p>
        </w:tc>
      </w:tr>
      <w:tr>
        <w:trPr>
          <w:trHeight w:val="205"/>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long term debt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6140" w:type="dxa"/>
            <w:vAlign w:val="bottom"/>
          </w:tcPr>
          <w:p>
            <w:pPr>
              <w:ind w:left="100"/>
              <w:spacing w:after="0"/>
              <w:rPr>
                <w:sz w:val="20"/>
                <w:szCs w:val="20"/>
                <w:color w:val="auto"/>
              </w:rPr>
            </w:pPr>
            <w:r>
              <w:rPr>
                <w:rFonts w:ascii="Arial" w:cs="Arial" w:eastAsia="Arial" w:hAnsi="Arial"/>
                <w:sz w:val="16"/>
                <w:szCs w:val="16"/>
                <w:color w:val="auto"/>
              </w:rPr>
              <w:t>Short term lease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196"/>
        </w:trPr>
        <w:tc>
          <w:tcPr>
            <w:tcW w:w="614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19,833</w:t>
            </w: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Long term debt, net of current portion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7,587</w:t>
            </w: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Long term lease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13,407</w:t>
            </w:r>
          </w:p>
        </w:tc>
      </w:tr>
      <w:tr>
        <w:trPr>
          <w:trHeight w:val="196"/>
        </w:trPr>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41,293</w:t>
            </w: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140" w:type="dxa"/>
            <w:vAlign w:val="bottom"/>
          </w:tcPr>
          <w:p>
            <w:pPr>
              <w:ind w:left="100"/>
              <w:spacing w:after="0"/>
              <w:rPr>
                <w:sz w:val="20"/>
                <w:szCs w:val="20"/>
                <w:color w:val="auto"/>
              </w:rPr>
            </w:pPr>
            <w:r>
              <w:rPr>
                <w:rFonts w:ascii="Arial" w:cs="Arial" w:eastAsia="Arial" w:hAnsi="Arial"/>
                <w:sz w:val="16"/>
                <w:szCs w:val="16"/>
                <w:color w:val="auto"/>
              </w:rPr>
              <w:t>Common stock, $0.001 par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Authorized—120,000,000 shares as of June 30, 2020 and December 31, 2019; issued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and outstanding — 28,381,280 and 28,112,201 shares as of June 30, 2020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December 31, 2019, respectively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2"/>
        </w:trPr>
        <w:tc>
          <w:tcPr>
            <w:tcW w:w="61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351,188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345,027</w:t>
            </w:r>
          </w:p>
        </w:tc>
      </w:tr>
      <w:tr>
        <w:trPr>
          <w:trHeight w:val="203"/>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3"/>
        </w:trPr>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(240,156)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(216,244)</w:t>
            </w: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128,658</w:t>
            </w:r>
          </w:p>
        </w:tc>
      </w:tr>
      <w:tr>
        <w:trPr>
          <w:trHeight w:val="196"/>
        </w:trPr>
        <w:tc>
          <w:tcPr>
            <w:tcW w:w="614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162,940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169,951</w:t>
            </w: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3900"/>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Product revenue (including related party activity of $186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8"/>
              </w:rPr>
              <w:t>and $126 for the three months ended June 30, 2020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6"/>
              </w:rPr>
              <w:t>2019, respectively, and $220 and $205 for the six months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ended June 30, 2020 and 2019, respectively)</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Service and other revenue (including related party activity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6"/>
              </w:rPr>
              <w:t>of $21 and $19 for the three months ended June 30, 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3"/>
              </w:rPr>
              <w:t>and 2019, respectively, and $45 and $42 for the 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ended June 30, 2020 and 2019,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ind w:left="100"/>
              <w:spacing w:after="0" w:line="201" w:lineRule="exact"/>
              <w:rPr>
                <w:sz w:val="20"/>
                <w:szCs w:val="20"/>
                <w:color w:val="auto"/>
              </w:rPr>
            </w:pPr>
            <w:r>
              <w:rPr>
                <w:rFonts w:ascii="Arial" w:cs="Arial" w:eastAsia="Arial" w:hAnsi="Arial"/>
                <w:sz w:val="18"/>
                <w:szCs w:val="18"/>
                <w:color w:val="auto"/>
                <w:w w:val="94"/>
              </w:rPr>
              <w:t>Cost of product revenue (including related party activity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w w:val="90"/>
              </w:rPr>
              <w:t>$30 and $35 for the three months ended June 30, 2020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w w:val="98"/>
              </w:rPr>
              <w:t>2019, respectively, and $57 and $70 for the 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00"/>
              <w:spacing w:after="0"/>
              <w:rPr>
                <w:sz w:val="20"/>
                <w:szCs w:val="20"/>
                <w:color w:val="auto"/>
              </w:rPr>
            </w:pPr>
            <w:r>
              <w:rPr>
                <w:rFonts w:ascii="Arial" w:cs="Arial" w:eastAsia="Arial" w:hAnsi="Arial"/>
                <w:sz w:val="18"/>
                <w:szCs w:val="18"/>
                <w:color w:val="auto"/>
              </w:rPr>
              <w:t>ended June 30, 2020 and 2019,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services and other revenue</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(0.43)</w:t>
            </w:r>
          </w:p>
        </w:tc>
        <w:tc>
          <w:tcPr>
            <w:tcW w:w="140" w:type="dxa"/>
            <w:vAlign w:val="bottom"/>
            <w:vMerge w:val="continue"/>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140" w:type="dxa"/>
            <w:vAlign w:val="bottom"/>
            <w:vMerge w:val="continue"/>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(0.85)</w:t>
            </w:r>
          </w:p>
        </w:tc>
        <w:tc>
          <w:tcPr>
            <w:tcW w:w="14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common shares outstanding, basic and</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28,312,925</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23,213,653</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28,246,028</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22,820,502</w:t>
            </w: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4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10"/>
        </w:trPr>
        <w:tc>
          <w:tcPr>
            <w:tcW w:w="3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r>
      <w:tr>
        <w:trPr>
          <w:trHeight w:val="206"/>
        </w:trPr>
        <w:tc>
          <w:tcPr>
            <w:tcW w:w="310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Cumulative translation adjustment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other comprehensive loss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5"/>
          </w:tcPr>
          <w:p>
            <w:pPr>
              <w:ind w:left="46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6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(23,912)</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(19,968)</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953</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step-up amortization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Reduction in the carrying amounts of right-of-use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Non-cash 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fixed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(3,504)</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w w:val="99"/>
              </w:rPr>
              <w:t>Accrued compensation and benefits, other accrued expenses and other current liabilities</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(1,008)</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669</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acquisition costs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w:t>
            </w:r>
          </w:p>
        </w:tc>
        <w:tc>
          <w:tcPr>
            <w:tcW w:w="20" w:type="dxa"/>
            <w:vAlign w:val="bottom"/>
          </w:tcPr>
          <w:p>
            <w:pPr>
              <w:spacing w:after="0"/>
              <w:rPr>
                <w:sz w:val="17"/>
                <w:szCs w:val="17"/>
                <w:color w:val="auto"/>
              </w:rPr>
            </w:pPr>
          </w:p>
        </w:tc>
      </w:tr>
      <w:tr>
        <w:trPr>
          <w:trHeight w:val="20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7"/>
                <w:szCs w:val="17"/>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(20,600)</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20" w:type="dxa"/>
            <w:vAlign w:val="bottom"/>
          </w:tcPr>
          <w:p>
            <w:pPr>
              <w:spacing w:after="0"/>
              <w:rPr>
                <w:sz w:val="17"/>
                <w:szCs w:val="17"/>
                <w:color w:val="auto"/>
              </w:rPr>
            </w:pPr>
          </w:p>
        </w:tc>
      </w:tr>
      <w:tr>
        <w:trPr>
          <w:trHeight w:val="190"/>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(9,830)</w:t>
            </w:r>
          </w:p>
        </w:tc>
        <w:tc>
          <w:tcPr>
            <w:tcW w:w="20" w:type="dxa"/>
            <w:vAlign w:val="bottom"/>
          </w:tcPr>
          <w:p>
            <w:pPr>
              <w:spacing w:after="0"/>
              <w:rPr>
                <w:sz w:val="18"/>
                <w:szCs w:val="18"/>
                <w:color w:val="auto"/>
              </w:rPr>
            </w:pP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(9,830)</w:t>
            </w:r>
          </w:p>
        </w:tc>
        <w:tc>
          <w:tcPr>
            <w:tcW w:w="20" w:type="dxa"/>
            <w:vAlign w:val="bottom"/>
          </w:tcPr>
          <w:p>
            <w:pPr>
              <w:spacing w:after="0"/>
              <w:rPr>
                <w:sz w:val="17"/>
                <w:szCs w:val="17"/>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Proceeds from stock options exercised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1,910</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common stock in at-the-market offering, net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48,019</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Proceeds from ESPP purchase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notes payable</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50,272</w:t>
            </w:r>
          </w:p>
        </w:tc>
        <w:tc>
          <w:tcPr>
            <w:tcW w:w="20" w:type="dxa"/>
            <w:vAlign w:val="bottom"/>
          </w:tcPr>
          <w:p>
            <w:pPr>
              <w:spacing w:after="0"/>
              <w:rPr>
                <w:sz w:val="17"/>
                <w:szCs w:val="17"/>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27,622</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Effect of foreign currency exchange rate on cash</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110,181</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20" w:type="dxa"/>
            <w:vAlign w:val="bottom"/>
          </w:tcPr>
          <w:p>
            <w:pPr>
              <w:spacing w:after="0"/>
              <w:rPr>
                <w:sz w:val="17"/>
                <w:szCs w:val="17"/>
                <w:color w:val="auto"/>
              </w:rPr>
            </w:pP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restricted cash, and cash equivalents at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89,806</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73,051</w:t>
            </w:r>
          </w:p>
        </w:tc>
        <w:tc>
          <w:tcPr>
            <w:tcW w:w="20" w:type="dxa"/>
            <w:vAlign w:val="bottom"/>
          </w:tcPr>
          <w:p>
            <w:pPr>
              <w:spacing w:after="0"/>
              <w:rPr>
                <w:sz w:val="17"/>
                <w:szCs w:val="17"/>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other non-current liabilities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8,057</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88,806</w:t>
            </w:r>
          </w:p>
        </w:tc>
        <w:tc>
          <w:tcPr>
            <w:tcW w:w="16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72,025</w:t>
            </w:r>
          </w:p>
        </w:tc>
        <w:tc>
          <w:tcPr>
            <w:tcW w:w="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0" w:type="dxa"/>
            <w:vAlign w:val="bottom"/>
          </w:tcPr>
          <w:p>
            <w:pPr>
              <w:spacing w:after="0"/>
              <w:rPr>
                <w:sz w:val="17"/>
                <w:szCs w:val="17"/>
                <w:color w:val="auto"/>
              </w:rPr>
            </w:pPr>
          </w:p>
        </w:tc>
      </w:tr>
      <w:tr>
        <w:trPr>
          <w:trHeight w:val="196"/>
        </w:trPr>
        <w:tc>
          <w:tcPr>
            <w:tcW w:w="624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89,806</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73,051</w:t>
            </w:r>
          </w:p>
        </w:tc>
        <w:tc>
          <w:tcPr>
            <w:tcW w:w="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98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comprehensive Accumulated</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 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stock value</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28,243,442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348,072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(1,200)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(227,854)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119,046</w:t>
            </w:r>
          </w:p>
        </w:tc>
        <w:tc>
          <w:tcPr>
            <w:tcW w:w="0" w:type="dxa"/>
            <w:vAlign w:val="bottom"/>
          </w:tcPr>
          <w:p>
            <w:pPr>
              <w:spacing w:after="0"/>
              <w:rPr>
                <w:sz w:val="1"/>
                <w:szCs w:val="1"/>
                <w:color w:val="auto"/>
              </w:rPr>
            </w:pPr>
          </w:p>
        </w:tc>
      </w:tr>
      <w:tr>
        <w:trPr>
          <w:trHeight w:val="138"/>
        </w:trPr>
        <w:tc>
          <w:tcPr>
            <w:tcW w:w="358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options and vesting of restricted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spacing w:after="0"/>
              <w:rPr>
                <w:sz w:val="20"/>
                <w:szCs w:val="20"/>
                <w:color w:val="auto"/>
              </w:rPr>
            </w:pPr>
            <w:r>
              <w:rPr>
                <w:rFonts w:ascii="Arial" w:cs="Arial" w:eastAsia="Arial" w:hAnsi="Arial"/>
                <w:sz w:val="13"/>
                <w:szCs w:val="13"/>
                <w:color w:val="auto"/>
              </w:rPr>
              <w:t>137,838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(12,302)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(12,302)</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28,381,280</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351,188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w:t>
            </w: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(240,156)</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111,034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2"/>
                <w:szCs w:val="2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98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comprehensive Accumulated</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 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stock value</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March 31,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22,491,447</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219,045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(184,853)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34,215</w:t>
            </w:r>
          </w:p>
        </w:tc>
        <w:tc>
          <w:tcPr>
            <w:tcW w:w="0" w:type="dxa"/>
            <w:vAlign w:val="bottom"/>
          </w:tcPr>
          <w:p>
            <w:pPr>
              <w:spacing w:after="0"/>
              <w:rPr>
                <w:sz w:val="1"/>
                <w:szCs w:val="1"/>
                <w:color w:val="auto"/>
              </w:rPr>
            </w:pPr>
          </w:p>
        </w:tc>
      </w:tr>
      <w:tr>
        <w:trPr>
          <w:trHeight w:val="138"/>
        </w:trPr>
        <w:tc>
          <w:tcPr>
            <w:tcW w:w="358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options and vesting of restricted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spacing w:after="0"/>
              <w:rPr>
                <w:sz w:val="20"/>
                <w:szCs w:val="20"/>
                <w:color w:val="auto"/>
              </w:rPr>
            </w:pPr>
            <w:r>
              <w:rPr>
                <w:rFonts w:ascii="Arial" w:cs="Arial" w:eastAsia="Arial" w:hAnsi="Arial"/>
                <w:sz w:val="13"/>
                <w:szCs w:val="13"/>
                <w:color w:val="auto"/>
              </w:rPr>
              <w:t>216,409</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1,408</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at-the-market offering</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2,186,163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48,019</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(10,563)</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(10,563)</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June 30, 2019</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24,894,019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270,136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(195,416)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74,745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2"/>
                <w:szCs w:val="2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98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comprehensive Accumulated</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 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stock value</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28,112,201</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345,027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(216,244)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128,658</w:t>
            </w:r>
          </w:p>
        </w:tc>
        <w:tc>
          <w:tcPr>
            <w:tcW w:w="0" w:type="dxa"/>
            <w:vAlign w:val="bottom"/>
          </w:tcPr>
          <w:p>
            <w:pPr>
              <w:spacing w:after="0"/>
              <w:rPr>
                <w:sz w:val="1"/>
                <w:szCs w:val="1"/>
                <w:color w:val="auto"/>
              </w:rPr>
            </w:pPr>
          </w:p>
        </w:tc>
      </w:tr>
      <w:tr>
        <w:trPr>
          <w:trHeight w:val="138"/>
        </w:trPr>
        <w:tc>
          <w:tcPr>
            <w:tcW w:w="358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options and vesting of restricted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spacing w:after="0"/>
              <w:rPr>
                <w:sz w:val="20"/>
                <w:szCs w:val="20"/>
                <w:color w:val="auto"/>
              </w:rPr>
            </w:pPr>
            <w:r>
              <w:rPr>
                <w:rFonts w:ascii="Arial" w:cs="Arial" w:eastAsia="Arial" w:hAnsi="Arial"/>
                <w:sz w:val="13"/>
                <w:szCs w:val="13"/>
                <w:color w:val="auto"/>
              </w:rPr>
              <w:t>246,386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1,111</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ESPP stock purchase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4,610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translation adjustment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(23,912)</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(23,912)</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28,381,280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351,188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(240,156)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111,034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2"/>
                <w:szCs w:val="2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98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comprehensive Accumulated</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 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stock value</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22,369,036</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216,931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(175,888)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41,065</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Cumulative-effect adjustment for the adoption of ASC 606</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Exercise of common stock options and vesting of restricted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318,770</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Sale of common stock in at-the-market offering</w:t>
            </w:r>
          </w:p>
        </w:tc>
        <w:tc>
          <w:tcPr>
            <w:tcW w:w="760" w:type="dxa"/>
            <w:vAlign w:val="bottom"/>
          </w:tcPr>
          <w:p>
            <w:pPr>
              <w:jc w:val="right"/>
              <w:spacing w:after="0"/>
              <w:rPr>
                <w:sz w:val="20"/>
                <w:szCs w:val="20"/>
                <w:color w:val="auto"/>
              </w:rPr>
            </w:pPr>
            <w:r>
              <w:rPr>
                <w:rFonts w:ascii="Arial" w:cs="Arial" w:eastAsia="Arial" w:hAnsi="Arial"/>
                <w:sz w:val="13"/>
                <w:szCs w:val="13"/>
                <w:color w:val="auto"/>
              </w:rPr>
              <w:t>2,186,163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48,019</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ESPP stock purchase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2,885</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(19,968)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(19,968)</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24,894,019</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270,136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(195,416)</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74,745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74"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ahead of its original fourth quarter expectation.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jc w:val="both"/>
        <w:ind w:left="60" w:right="119" w:firstLine="648"/>
        <w:spacing w:after="0" w:line="287" w:lineRule="auto"/>
        <w:rPr>
          <w:sz w:val="20"/>
          <w:szCs w:val="20"/>
          <w:color w:val="auto"/>
        </w:rPr>
      </w:pPr>
      <w:r>
        <w:rPr>
          <w:rFonts w:ascii="Arial" w:cs="Arial" w:eastAsia="Arial" w:hAnsi="Arial"/>
          <w:sz w:val="16"/>
          <w:szCs w:val="16"/>
          <w:color w:val="auto"/>
        </w:rPr>
        <w:t>The Company completed the acquisition of UmanDiagnostics AB (Uman), a Swedish company located in Umea, Sweden, in August 2019. The acquisition closed with respect to 95% of the outstanding shares of capital stock of Uman on July 1, 2019 and with respect to the remaining 5% of the outstanding shares of capital stock of Uman on August 1, 2019.</w:t>
      </w:r>
    </w:p>
    <w:p>
      <w:pPr>
        <w:spacing w:after="0" w:line="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On March 19, 2019, the Company entered into a Sales Agreement (the Sales Agreement) with Cowen and Company, LLC (Cowen) with respect to an “at-the-market” offering program under which the Company may offer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sell, from time to time at its sole discretion, shares of its common stock, par value $0.001 per share, having an aggregate offering price of up to $50.0 million through Cowen as its sales agent.</w:t>
      </w:r>
    </w:p>
    <w:p>
      <w:pPr>
        <w:spacing w:after="0" w:line="170" w:lineRule="exact"/>
        <w:rPr>
          <w:sz w:val="20"/>
          <w:szCs w:val="20"/>
          <w:color w:val="auto"/>
        </w:rPr>
      </w:pPr>
    </w:p>
    <w:p>
      <w:pPr>
        <w:ind w:left="60" w:right="459" w:firstLine="648"/>
        <w:spacing w:after="0" w:line="279" w:lineRule="auto"/>
        <w:rPr>
          <w:sz w:val="20"/>
          <w:szCs w:val="20"/>
          <w:color w:val="auto"/>
        </w:rPr>
      </w:pPr>
      <w:r>
        <w:rPr>
          <w:rFonts w:ascii="Arial" w:cs="Arial" w:eastAsia="Arial" w:hAnsi="Arial"/>
          <w:sz w:val="17"/>
          <w:szCs w:val="17"/>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On August 8, 2019, the Company entered into an underwriting agreement with J.P. Morgan Securities LLC and SVB Leerink LLC,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2019 filed with the Securities and Exchange Commission on March 13, 2020 (the 2019 Annual Report on Form 10-K). The consolidated financial information as of December 31, 2019 has been derived from the audited 2019 consolidated financial statements included in the 2019 Annual Report on Form 10-K.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right-of-use assets and lease liabilities, and stock-based compensation. Actual results could differ from those estimates.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 xml:space="preserve">The Company accounts for uncertain tax positions in accordance with the provisions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2020 the Company did not have any significant uncertain tax positions.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Under the acquisition method of accounting, the Company generally recognizes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value of tangible and intangible assets, net of liabilities assumed, is recorded as goodwill. These valuations require significant estimates and assumptions, especially with respect to intangible assets.</w:t>
      </w:r>
    </w:p>
    <w:p>
      <w:pPr>
        <w:spacing w:after="0" w:line="164"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headquarters in Billerica, Massachusetts. The restricted cash is long term in nature as the Company will not have access to the funds until more than one year from June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The Company is considered to be an “emerging growth company” (EGC)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may remain an EGC until the last day of the fiscal year in which the fifth anniversary of the closing of the initial public offering occurs, although if the market value the Company’s common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EGC.</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0" w:right="199" w:firstLine="648"/>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(FASB) established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by issuing Accounting Standards Update (ASU) No. 2016-02, which requires lessees to recognize leases on the balance sheet and disclose key information about leasing arrangements. Topic 842 was subsequently amended by ASU No. 2018-01, </w:t>
      </w:r>
      <w:r>
        <w:rPr>
          <w:rFonts w:ascii="Arial" w:cs="Arial" w:eastAsia="Arial" w:hAnsi="Arial"/>
          <w:sz w:val="16"/>
          <w:szCs w:val="16"/>
          <w:i w:val="1"/>
          <w:iCs w:val="1"/>
          <w:color w:val="auto"/>
        </w:rPr>
        <w:t>Land</w:t>
      </w:r>
      <w:r>
        <w:rPr>
          <w:rFonts w:ascii="Arial" w:cs="Arial" w:eastAsia="Arial" w:hAnsi="Arial"/>
          <w:sz w:val="16"/>
          <w:szCs w:val="16"/>
          <w:color w:val="auto"/>
        </w:rPr>
        <w:t xml:space="preserve"> </w:t>
      </w:r>
      <w:r>
        <w:rPr>
          <w:rFonts w:ascii="Arial" w:cs="Arial" w:eastAsia="Arial" w:hAnsi="Arial"/>
          <w:sz w:val="16"/>
          <w:szCs w:val="16"/>
          <w:i w:val="1"/>
          <w:iCs w:val="1"/>
          <w:color w:val="auto"/>
        </w:rPr>
        <w:t>Easement Practical Expedient for Transition to Topic 842</w:t>
      </w:r>
      <w:r>
        <w:rPr>
          <w:rFonts w:ascii="Arial" w:cs="Arial" w:eastAsia="Arial" w:hAnsi="Arial"/>
          <w:sz w:val="16"/>
          <w:szCs w:val="16"/>
          <w:color w:val="auto"/>
        </w:rPr>
        <w:t>; ASU No. 2018-10,</w:t>
      </w:r>
      <w:r>
        <w:rPr>
          <w:rFonts w:ascii="Arial" w:cs="Arial" w:eastAsia="Arial" w:hAnsi="Arial"/>
          <w:sz w:val="16"/>
          <w:szCs w:val="16"/>
          <w:i w:val="1"/>
          <w:iCs w:val="1"/>
          <w:color w:val="auto"/>
        </w:rPr>
        <w:t xml:space="preserve"> Codification Improvements to Topic 842, Leases</w:t>
      </w:r>
      <w:r>
        <w:rPr>
          <w:rFonts w:ascii="Arial" w:cs="Arial" w:eastAsia="Arial" w:hAnsi="Arial"/>
          <w:sz w:val="16"/>
          <w:szCs w:val="16"/>
          <w:color w:val="auto"/>
        </w:rPr>
        <w:t>; and ASU No. 2018-11,</w:t>
      </w:r>
      <w:r>
        <w:rPr>
          <w:rFonts w:ascii="Arial" w:cs="Arial" w:eastAsia="Arial" w:hAnsi="Arial"/>
          <w:sz w:val="16"/>
          <w:szCs w:val="16"/>
          <w:i w:val="1"/>
          <w:iCs w:val="1"/>
          <w:color w:val="auto"/>
        </w:rPr>
        <w:t xml:space="preserve"> Targeted Improvements</w:t>
      </w:r>
      <w:r>
        <w:rPr>
          <w:rFonts w:ascii="Arial" w:cs="Arial" w:eastAsia="Arial" w:hAnsi="Arial"/>
          <w:sz w:val="16"/>
          <w:szCs w:val="16"/>
          <w:color w:val="auto"/>
        </w:rPr>
        <w:t>. The new standard establishes a right-of-use (ROU) model that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An optional transition approach is permitted under ASU 2018-11, applying the new standard to all leases existing at the date of initial application.</w:t>
      </w:r>
    </w:p>
    <w:p>
      <w:pPr>
        <w:spacing w:after="0" w:line="166"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 xml:space="preserve">On January 1, 2020,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using the optional transition method allowing entities to recognize a cumulative effect adjustment to the opening balance sheet without restating comparative prior periods presented. ASC 842 requires a lessee to recognize assets and liabilities on the balance sheet for most leases and changes many key definitions, including the definition of a lease. Lessees will continue to differentiate between finance leases and operating, and classification will impact expense recognition.</w:t>
      </w:r>
    </w:p>
    <w:p>
      <w:pPr>
        <w:spacing w:after="0" w:line="161"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 xml:space="preserve">The Company elected the following practical expedients for all lease asset classes, which must be elected as a package and applied consistently to all of its leases at the transition date: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are classified as operating leases); and iii) the Company did not reassess initial direct costs for any existing leases.</w:t>
      </w:r>
    </w:p>
    <w:p>
      <w:pPr>
        <w:spacing w:after="0" w:line="19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At the inception of an arrangement, the Company determines whether the arrangement is or contains a lease based on the facts and circumstances present in the arrangement. Leases with a term greater than one year are recognized on the balance sheet as right-of-use assets and short-term and long-term lease liabilities, as applicable. The Company has elected the practical expedient not to recognize leases on the balance sheet with a term of twelve months or less. The Company’s leases consist of office and lab space and office equipment. All of the Company’s leases are classified as operating, and options to renew a lease are only included in the lease term to the extent those options are reasonably certain to be exercised. Additionally, the Company elected to apply the practical expedient not to separate lease and nonlease components for all leases.</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Operating lease liabilities and their corresponding ROU assets are initially recorded based on the present value of lease payments over the expected remaining lease term. The rate implicit in lease contracts is typically not readily determinable and, as a result, the Company utilizes its incremental borrowing rate to discount lease payments, which reflects the fixed rate at which the Company could borrow on a collateralized basis the amount of the lease payments,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9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adoption of ASC 842 resulted in the recognition of operating lease ROU assets and operating lease liabilities of $12.2 million and $22.8 million, respectively, on the Company’s condensed consolidated balance sheet, with the difference between the ROU asset and lease liability primarily attributable to unamortized lease incentives and deferred rent related to its lease for its corporate headquarters at 900 Middlesex Turnpike in Billerica, Massachusetts (the “900 Middlesex Turnpike Lease”).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This ASU eliminates Step 2 from the goodwill impairment test. In addition,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Company adopted this ASU on January 1, 2020 with no material effect to its financial statements.</w:t>
      </w:r>
    </w:p>
    <w:p>
      <w:pPr>
        <w:spacing w:after="0" w:line="17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This ASU removed the following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and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fiscal years beginning after December 15, 2019 with early adoption permitted. The Company adopted this ASU on January 1, 2020 with no material effect to its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amends the impairment model by requiring entities to use a</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approach based on expected losses to estimate credit losses on certain types of financial instruments, including trade receivables and available-for-sale debt securities. The standard is effective for the Company beginning in the first quarter of 2022, with early adoption permitted. The Company is currently evaluating the expected impact of ASU 2016-13 on its financial statements.</w:t>
      </w:r>
    </w:p>
    <w:p>
      <w:pPr>
        <w:spacing w:after="0" w:line="192"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2019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 xml:space="preserve">The Company adopted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2019, using the modified retrospective method for all contracts not completed as of the date of adoption.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recognized revenues from a sales- or usage-based royalties related to the licensing of the Company’s technology and intellectual property.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0"/>
              </w:rPr>
              <w:t>June 30, 2020</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Instruments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1,220</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1,009</w:t>
            </w:r>
          </w:p>
        </w:tc>
        <w:tc>
          <w:tcPr>
            <w:tcW w:w="2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535</w:t>
            </w: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2,764</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2,973</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1,735</w:t>
            </w:r>
          </w:p>
        </w:tc>
        <w:tc>
          <w:tcPr>
            <w:tcW w:w="20" w:type="dxa"/>
            <w:vAlign w:val="bottom"/>
          </w:tcPr>
          <w:p>
            <w:pPr>
              <w:spacing w:after="0"/>
              <w:rPr>
                <w:sz w:val="18"/>
                <w:szCs w:val="18"/>
                <w:color w:val="auto"/>
              </w:rPr>
            </w:pPr>
          </w:p>
        </w:tc>
        <w:tc>
          <w:tcPr>
            <w:tcW w:w="3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7"/>
              </w:rPr>
              <w:t>Consumable and other products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4,026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4,658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4,601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10,171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2,954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2,906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930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6,790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6,336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Research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4,394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4,982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8,061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9,846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Collaboration and license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Collaboration and license revenue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2"/>
              </w:rPr>
              <w:t>June 30, 2019</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1,159</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651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2,703</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2,556</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2,038</w:t>
            </w:r>
          </w:p>
        </w:tc>
        <w:tc>
          <w:tcPr>
            <w:tcW w:w="20" w:type="dxa"/>
            <w:vAlign w:val="bottom"/>
          </w:tcPr>
          <w:p>
            <w:pPr>
              <w:spacing w:after="0"/>
              <w:rPr>
                <w:sz w:val="18"/>
                <w:szCs w:val="18"/>
                <w:color w:val="auto"/>
              </w:rPr>
            </w:pPr>
          </w:p>
        </w:tc>
        <w:tc>
          <w:tcPr>
            <w:tcW w:w="3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Consumable and other products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4,814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2,988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8,776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9,830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2,771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4,275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4,760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6,179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Collaboration and license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Collaboration and license revenue $</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5"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Variable consideration in the Company’s contracts primarily relates to (i) sales- and usage-based royalties related to the license of intellectual property in collaboration and license contracts and (ii) certain non-fixed fee research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has recorded sales- and usage-based royalty revenue for the three and six months ended June 30, 2020 related to the intellectual property licensed by the Company. The Company recognizes revenue from sales- and usage-based royalty revenue at the later of when the sale or usage occurs and the satisfaction or partial satisfaction of the performance obligation to which the royalty has been allocated.</w:t>
      </w:r>
    </w:p>
    <w:p>
      <w:pPr>
        <w:spacing w:after="0" w:line="164" w:lineRule="exact"/>
        <w:rPr>
          <w:sz w:val="20"/>
          <w:szCs w:val="20"/>
          <w:color w:val="auto"/>
        </w:rPr>
      </w:pPr>
    </w:p>
    <w:p>
      <w:pPr>
        <w:ind w:left="60" w:right="419" w:firstLine="648"/>
        <w:spacing w:after="0" w:line="286" w:lineRule="auto"/>
        <w:rPr>
          <w:sz w:val="20"/>
          <w:szCs w:val="20"/>
          <w:color w:val="auto"/>
        </w:rPr>
      </w:pPr>
      <w:r>
        <w:rPr>
          <w:rFonts w:ascii="Arial" w:cs="Arial" w:eastAsia="Arial" w:hAnsi="Arial"/>
          <w:sz w:val="16"/>
          <w:szCs w:val="16"/>
          <w:color w:val="auto"/>
        </w:rPr>
        <w:t>The aggregate amount of transaction price that is allocated to performance obligations that have not yet been satisfied or are partially satisfied as of June 30, 2020 and 2019 is $5.4 million and $5.6 million, respectively. As of June 30, 2020, of the performance obligations not yet satisfied or partially satisfied, $5.0 million is expected to be recognized as revenue in the next 12 months, with the remainder to be recognized within the 24 months thereafter. The</w:t>
      </w:r>
    </w:p>
    <w:p>
      <w:pPr>
        <w:spacing w:after="0" w:line="1"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$5.4 million at June 30, 2020 principally consists of amounts billed for undelivered services related to initial and extended service-type warranties and research services, as well as $1.7 million related to undelivered licenses of intellectual property for a diagnostics company (see Note 13).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-115570</wp:posOffset>
            </wp:positionV>
            <wp:extent cx="451739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deferred revenue</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June 30, 2020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top w:val="single" w:sz="8" w:color="auto"/>
            </w:tcBorders>
            <w:gridSpan w:val="2"/>
          </w:tcPr>
          <w:p>
            <w:pPr>
              <w:jc w:val="right"/>
              <w:ind w:right="707"/>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5,163</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2,594</w:t>
            </w:r>
          </w:p>
        </w:tc>
      </w:tr>
      <w:tr>
        <w:trPr>
          <w:trHeight w:val="230"/>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r>
      <w:tr>
        <w:trPr>
          <w:trHeight w:val="210"/>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5160" w:space="720"/>
            <w:col w:w="3139"/>
          </w:cols>
          <w:pgMar w:left="1440" w:top="517" w:right="1440" w:bottom="1440" w:gutter="0" w:footer="0" w:header="0"/>
          <w:type w:val="continuous"/>
        </w:sectPr>
      </w:pPr>
    </w:p>
    <w:p>
      <w:pPr>
        <w:spacing w:after="0" w:line="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7" w:right="1440" w:bottom="1440" w:gutter="0" w:footer="0" w:header="0"/>
          <w:type w:val="continuous"/>
        </w:sectPr>
      </w:pPr>
    </w:p>
    <w:p>
      <w:pPr>
        <w:spacing w:after="0" w:line="3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costs to obtain a contract</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Six Months Ended June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Borders>
              <w:top w:val="single" w:sz="8" w:color="auto"/>
            </w:tcBorders>
            <w:gridSpan w:val="2"/>
          </w:tcPr>
          <w:p>
            <w:pPr>
              <w:jc w:val="right"/>
              <w:ind w:right="727"/>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10"/>
        </w:trPr>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60" w:space="720"/>
            <w:col w:w="3039"/>
          </w:cols>
          <w:pgMar w:left="1440" w:top="517" w:right="1440" w:bottom="1440" w:gutter="0" w:footer="0" w:header="0"/>
          <w:type w:val="continuous"/>
        </w:sectPr>
      </w:pPr>
    </w:p>
    <w:p>
      <w:pPr>
        <w:spacing w:after="0" w:line="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w:t>
      </w:r>
    </w:p>
    <w:p>
      <w:pPr>
        <w:sectPr>
          <w:pgSz w:w="11900" w:h="16838" w:orient="portrait"/>
          <w:cols w:equalWidth="0" w:num="1">
            <w:col w:w="9019"/>
          </w:cols>
          <w:pgMar w:left="1440" w:top="517" w:right="1440" w:bottom="144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342" w:lineRule="auto"/>
        <w:rPr>
          <w:sz w:val="20"/>
          <w:szCs w:val="20"/>
          <w:color w:val="auto"/>
        </w:rPr>
      </w:pPr>
      <w:r>
        <w:rPr>
          <w:rFonts w:ascii="Arial" w:cs="Arial" w:eastAsia="Arial" w:hAnsi="Arial"/>
          <w:sz w:val="16"/>
          <w:szCs w:val="16"/>
          <w:color w:val="auto"/>
        </w:rPr>
        <w:t>performs its obligations under the contract and when the customer pays is one year or less. None of the Company’s contracts contained a significant financing component as of June 30, 2020 and 2019, respectively.</w:t>
      </w:r>
    </w:p>
    <w:p>
      <w:pPr>
        <w:spacing w:after="0" w:line="124"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determined using the treasury-stock and if-converted methods. 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92"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3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436,985</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2,744,441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2,640,072</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60" w:type="dxa"/>
            <w:vAlign w:val="bottom"/>
            <w:shd w:val="clear" w:color="auto" w:fill="CCEEFF"/>
          </w:tcPr>
          <w:p>
            <w:pPr>
              <w:spacing w:after="0"/>
              <w:rPr>
                <w:sz w:val="18"/>
                <w:szCs w:val="18"/>
                <w:color w:val="auto"/>
              </w:rPr>
            </w:pPr>
          </w:p>
        </w:tc>
      </w:tr>
      <w:tr>
        <w:trPr>
          <w:trHeight w:val="209"/>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3,234,437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3,153,098</w:t>
            </w:r>
          </w:p>
        </w:tc>
        <w:tc>
          <w:tcPr>
            <w:tcW w:w="6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As of June 30, 2020 and 2019,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June 30, 2020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Significant</w:t>
            </w: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in active</w:t>
            </w:r>
          </w:p>
        </w:tc>
        <w:tc>
          <w:tcPr>
            <w:tcW w:w="13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Significant other</w:t>
            </w: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inputs (Level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r>
      <w:tr>
        <w:trPr>
          <w:trHeight w:val="209"/>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$ 82,013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9"/>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$ 82,163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2019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89"/>
              </w:rPr>
              <w:t>Quoted prices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3"/>
              <w:spacing w:after="0" w:line="149" w:lineRule="exact"/>
              <w:rPr>
                <w:sz w:val="20"/>
                <w:szCs w:val="20"/>
                <w:color w:val="auto"/>
              </w:rPr>
            </w:pPr>
            <w:r>
              <w:rPr>
                <w:rFonts w:ascii="Arial" w:cs="Arial" w:eastAsia="Arial" w:hAnsi="Arial"/>
                <w:sz w:val="14"/>
                <w:szCs w:val="14"/>
                <w:b w:val="1"/>
                <w:bCs w:val="1"/>
                <w:color w:val="auto"/>
                <w:w w:val="92"/>
              </w:rPr>
              <w:t>in active</w:t>
            </w:r>
          </w:p>
        </w:tc>
        <w:tc>
          <w:tcPr>
            <w:tcW w:w="60" w:type="dxa"/>
            <w:vAlign w:val="bottom"/>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4"/>
                <w:szCs w:val="14"/>
                <w:b w:val="1"/>
                <w:bCs w:val="1"/>
                <w:color w:val="auto"/>
                <w:w w:val="96"/>
              </w:rPr>
              <w:t>markets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$ 102,749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102,749</w:t>
            </w: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$ 102,899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102,749</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6. Inventory</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5"/>
          </w:tcPr>
          <w:p>
            <w:pPr>
              <w:ind w:left="260"/>
              <w:spacing w:after="0"/>
              <w:rPr>
                <w:sz w:val="20"/>
                <w:szCs w:val="20"/>
                <w:color w:val="auto"/>
              </w:rPr>
            </w:pPr>
            <w:r>
              <w:rPr>
                <w:rFonts w:ascii="Arial" w:cs="Arial" w:eastAsia="Arial" w:hAnsi="Arial"/>
                <w:sz w:val="14"/>
                <w:szCs w:val="14"/>
                <w:b w:val="1"/>
                <w:bCs w:val="1"/>
                <w:color w:val="auto"/>
              </w:rPr>
              <w:t>June 30,</w:t>
            </w:r>
          </w:p>
        </w:tc>
        <w:tc>
          <w:tcPr>
            <w:tcW w:w="13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2,783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13,789</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Inventory comprises commercial instruments, assays, and the materials required to manufacture limited instruments and assays.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84"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company, and the fair value of the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six months ended June 30, 2020 or in any prior period.</w:t>
      </w:r>
    </w:p>
    <w:p>
      <w:pPr>
        <w:spacing w:after="0" w:line="17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convertible note is held as an available-for-sale investment, which is carried at fair market value, with the unrealized gains and losses included in the determination of comprehensive income and reporting stockholders equity. Any gains or losses recognized by the Company related to the change in fair value of the convertible note were deemed immaterial. When determining the estimated fair value of the convertible notes, the Company used a commonly accepted valuation methodology.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Equity investments that do not result in consolidation and are not accounted for under the equity method are measured at fair value, with any changes in fair value recognized in net income. For any such investments that do not have readily determinable fair values, the Company elects the measurement alternative to measure the investments at cost minus impairment, if any, plus or minus changes resulting from observable price changes in orderly transactions for the identical or a similar investment of the same issuer.</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accrued expenses and other non-current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inventory</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Accrued development costs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9"/>
        </w:trPr>
        <w:tc>
          <w:tcPr>
            <w:tcW w:w="528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2,597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660"/>
              <w:spacing w:after="0"/>
              <w:rPr>
                <w:sz w:val="20"/>
                <w:szCs w:val="20"/>
                <w:color w:val="auto"/>
              </w:rPr>
            </w:pPr>
            <w:r>
              <w:rPr>
                <w:rFonts w:ascii="Arial" w:cs="Arial" w:eastAsia="Arial" w:hAnsi="Arial"/>
                <w:sz w:val="18"/>
                <w:szCs w:val="18"/>
                <w:color w:val="auto"/>
                <w:w w:val="95"/>
              </w:rPr>
              <w:t>Other non-current liabilities consist of the following (in thousands):</w:t>
            </w: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center"/>
              <w:ind w:right="354"/>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obligation incentive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non-current liabilities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As part of the Company’s adoption of ASC 842 on January 1, 2020, the Company derecognized the leasehold obligation incentive of $7.6 million and deferred rent of $3.0 million. Per ASC 842, the leasehold obligation incentive and deferred rent reduced the Company’s ROU assets at time of adoption for the related leases. Refer to Note 2 and Note 10 for further detail.</w:t>
      </w:r>
    </w:p>
    <w:p>
      <w:pPr>
        <w:spacing w:after="0" w:line="183" w:lineRule="exact"/>
        <w:rPr>
          <w:sz w:val="20"/>
          <w:szCs w:val="20"/>
          <w:color w:val="auto"/>
        </w:rPr>
      </w:pPr>
    </w:p>
    <w:p>
      <w:pPr>
        <w:ind w:left="60" w:right="1599" w:hanging="10"/>
        <w:spacing w:after="0" w:line="503" w:lineRule="auto"/>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ind w:left="60" w:right="79" w:firstLine="648"/>
        <w:spacing w:after="0" w:line="277" w:lineRule="auto"/>
        <w:rPr>
          <w:sz w:val="20"/>
          <w:szCs w:val="20"/>
          <w:color w:val="auto"/>
        </w:rPr>
      </w:pPr>
      <w:r>
        <w:rPr>
          <w:rFonts w:ascii="Arial" w:cs="Arial" w:eastAsia="Arial" w:hAnsi="Arial"/>
          <w:sz w:val="18"/>
          <w:szCs w:val="18"/>
          <w:color w:val="auto"/>
        </w:rPr>
        <w:t>The Company issued no warrants during the six months ended June 30, 2020 and had 10,000 warrants outstanding as of June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Stock-based compensation expense for all stock awards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Borders>
              <w:bottom w:val="single" w:sz="8" w:color="CCEEFF"/>
            </w:tcBorders>
          </w:tcPr>
          <w:p>
            <w:pPr>
              <w:spacing w:after="0"/>
              <w:rPr>
                <w:sz w:val="18"/>
                <w:szCs w:val="18"/>
                <w:color w:val="auto"/>
              </w:rPr>
            </w:pPr>
          </w:p>
        </w:tc>
      </w:tr>
      <w:tr>
        <w:trPr>
          <w:trHeight w:val="209"/>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648"/>
        <w:spacing w:after="0" w:line="259" w:lineRule="auto"/>
        <w:rPr>
          <w:sz w:val="20"/>
          <w:szCs w:val="20"/>
          <w:color w:val="auto"/>
        </w:rPr>
      </w:pPr>
      <w:r>
        <w:rPr>
          <w:rFonts w:ascii="Arial" w:cs="Arial" w:eastAsia="Arial" w:hAnsi="Arial"/>
          <w:sz w:val="18"/>
          <w:szCs w:val="18"/>
          <w:color w:val="auto"/>
        </w:rPr>
        <w:t>As of June 30, 2020, under the 2007 Stock Option and Grant Plan (the 2007 Plan), options to purchase 1,100,607 shares of common stock were outstanding and no shares of common stock were available for future awards. In connection with the completion of the Company’s initial public offering (IPO) in December 2017, the Company terminated the 2007 Plan.</w:t>
      </w:r>
    </w:p>
    <w:p>
      <w:pPr>
        <w:spacing w:after="0" w:line="187"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In December 2017, the Company adopted the 2017 Employee, Director and Consultant Equity Incentive Plan (the 2017 Plan), under which it may grant incentive stock options, non-qualified stock options, restricted stock, and other stock-based awards. Upon its adoption,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1,126,172 on January 1, 2020 due to this provision. As of</w:t>
      </w:r>
    </w:p>
    <w:p>
      <w:pPr>
        <w:spacing w:after="0" w:line="4"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June 30, 2020, under the 2017 Plan, options to purchase 1,643,834 shares of common stock were outstanding and unvested restricted stock units for 479,996 shares of common stock were outstanding. As of June 30, 2020, 802,365 shares were available for grant under the 2017 Plan.</w:t>
      </w:r>
    </w:p>
    <w:p>
      <w:pPr>
        <w:spacing w:after="0" w:line="190"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7"/>
          <w:szCs w:val="17"/>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281,543 on January 1, 2020 due to this provision. As of June 30, 2020, 871,422 shares were available for issuance under the 2017 ESPP.</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 contractual</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2"/>
              </w:rPr>
              <w:t>Aggregate intrinsic value</w:t>
            </w:r>
          </w:p>
        </w:tc>
      </w:tr>
      <w:tr>
        <w:trPr>
          <w:trHeight w:val="171"/>
        </w:trPr>
        <w:tc>
          <w:tcPr>
            <w:tcW w:w="35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life (in years)</w:t>
            </w:r>
          </w:p>
        </w:tc>
        <w:tc>
          <w:tcPr>
            <w:tcW w:w="22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2,507,062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w:t>
            </w: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457,211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(67,262)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25.55</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2,744,441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30,415</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5"/>
              </w:rPr>
              <w:t>Vested and expected to vest at June 30, 2020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2,744,441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30,415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1,479,484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24,264</w:t>
            </w:r>
          </w:p>
        </w:tc>
      </w:tr>
    </w:tbl>
    <w:p>
      <w:pPr>
        <w:spacing w:after="0" w:line="20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six months ended June 30, 2020 and 2019 was $11.76 and $8.64 per share, respectively. The expense related to awards granted to employees was $1.3 million and $2.4 million for the three and six months ended June 30, 2020, respectively. The expense related to awards granted to employees was $0.9 million and $1.6 million for the three and six months ended June 30, 2019, respectively. The intrinsic value of stock options exercised was $1.7 million and $2.7 million for the three and six months ended June 30, 2020, respectively. The intrinsic value of stock options exercised was $2.9 million and $4.1 million for the three and six months ended June 30, 2019, respectively. Activity related to non-employee awards was not material to the three and six months ended June 30, 2020 and 2019.</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Restricted common stock awards represent shares of common stock issued to employees subject to forfeiture if the vesting conditions are not satisfied. Vesting occurs periodically at specified time intervals and specified percentages. 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common stock awards were granted or vested during the six months ended June 30, 2020. As of June 30, 2020, the Company had 39,806 shares of unvested restricted common stock with a weighted average grant date fair value of $3.12 per share.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six months ended June 30, 2020, the Company issued 224,792 RSUs to employees of the Company under the 2017 Plan. Under the terms of the agreements, 202,336 of the RSUs issued are subject to a four-year vesting schedule with 25% vesting on the first anniversary of the grant date and the remaining vesting 75% ratably on</w:t>
      </w:r>
    </w:p>
    <w:p>
      <w:pPr>
        <w:spacing w:after="0" w:line="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a monthly basis over the remaining three years; 15,890 of the RSUs vest on December 31, 2020; 5,106 vested immediately upon grant; and 1,460 vested on May 31, 2020. A summary of RSU activity is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224,792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400" w:type="dxa"/>
            <w:vAlign w:val="bottom"/>
            <w:tcBorders>
              <w:bottom w:val="single" w:sz="8" w:color="CCEEFF"/>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June 30,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479,996</w:t>
            </w:r>
          </w:p>
        </w:tc>
        <w:tc>
          <w:tcPr>
            <w:tcW w:w="40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The expense related to awards granted to employees and directors was $1.1 million and $2.0 million for the three and six months ended June 30, 2020, respectively. The expense related to awards granted to employees and directors was $0.7 million and $1.2 million for the three and six months ended June 30, 2019, respectively.</w:t>
      </w:r>
    </w:p>
    <w:p>
      <w:pPr>
        <w:spacing w:after="0" w:line="165" w:lineRule="exact"/>
        <w:rPr>
          <w:sz w:val="20"/>
          <w:szCs w:val="20"/>
          <w:color w:val="auto"/>
        </w:rPr>
      </w:pPr>
    </w:p>
    <w:p>
      <w:pPr>
        <w:ind w:left="60" w:right="439" w:firstLine="648"/>
        <w:spacing w:after="0" w:line="308" w:lineRule="auto"/>
        <w:rPr>
          <w:sz w:val="20"/>
          <w:szCs w:val="20"/>
          <w:color w:val="auto"/>
        </w:rPr>
      </w:pPr>
      <w:r>
        <w:rPr>
          <w:rFonts w:ascii="Arial" w:cs="Arial" w:eastAsia="Arial" w:hAnsi="Arial"/>
          <w:sz w:val="17"/>
          <w:szCs w:val="17"/>
          <w:color w:val="auto"/>
        </w:rPr>
        <w:t>At June 30, 2020, there was $10.4 million of total unrecognized compensation cost related to unvested RSUs, which is expected to be recognized over the remaining weighted-average vesting period of 2.9 years.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900 Middlesex Turnpike Lease</w:t>
      </w:r>
    </w:p>
    <w:p>
      <w:pPr>
        <w:spacing w:after="0" w:line="225"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The Company’s primary lease is the 900 Middlesex Turnpike Lease. On October 2, 2018, the Company entered into a 137-month operating lease for the Company’s new headquarters in Billerica, Massachusetts. The lease is for approximately 92,000 square feet of office and laboratory space and commenced on April 1, 2019. The lease contains a period of free rent and escalating monthly rent payments. As part of the lease, the Company was required to enter into a $1.0 million Letter of Credit drawable by the lessor under specifically outlined conditions, which will be subsequently reduced throughout the lease term. Pursuant to a work letter entered into in connection with the 900 Middlesex Turnpike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Lease, the landlord contributed an aggregate of $8.2 million toward the cost of construction and tenant improvements for the building. Under the lease the Company has the option to extend the lease for two successive five-year terms, and the renewal options are not reasonably certain to be exercised.</w:t>
      </w:r>
    </w:p>
    <w:p>
      <w:pPr>
        <w:spacing w:after="0" w:line="18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applying the ASC 842 transition guidance, the 900 Middlesex Turnpike Lease remained classified as an operating lease and the Company recorded ROU assets of $12.2 million and lease liability of $22.8 million on the effective date. The difference between the ROU and the lease liability was driven by the Company derecognizing deferred rent of $3.0 million and the lease obligation incentive of $7.6 million. The Company is recognizing rent expense on a straight-line basis throughout the remaining term of the leases.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48 Tvistevägen</w:t>
      </w:r>
    </w:p>
    <w:p>
      <w:pPr>
        <w:spacing w:after="0" w:line="225" w:lineRule="exact"/>
        <w:rPr>
          <w:sz w:val="20"/>
          <w:szCs w:val="20"/>
          <w:color w:val="auto"/>
        </w:rPr>
      </w:pPr>
    </w:p>
    <w:p>
      <w:pPr>
        <w:ind w:left="60" w:right="459" w:firstLine="648"/>
        <w:spacing w:after="0" w:line="308" w:lineRule="auto"/>
        <w:rPr>
          <w:sz w:val="20"/>
          <w:szCs w:val="20"/>
          <w:color w:val="auto"/>
        </w:rPr>
      </w:pPr>
      <w:r>
        <w:rPr>
          <w:rFonts w:ascii="Arial" w:cs="Arial" w:eastAsia="Arial" w:hAnsi="Arial"/>
          <w:sz w:val="17"/>
          <w:szCs w:val="17"/>
          <w:color w:val="auto"/>
        </w:rPr>
        <w:t>The Company has three leases at 48 Tvistevägen Umeå, Sweden for laboratory spaces, manufacturing spaces (Uman lease), and office space. All of these Uman leases have been assessed as operating leases.</w:t>
      </w:r>
    </w:p>
    <w:p>
      <w:pPr>
        <w:spacing w:after="0" w:line="146"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In applying the ASC 842 transition guidance, the Uman leases remained classified as operating leases and the Company recorded ROU assets of less than $0.1 million and lease liability of less than $0.1 million on the effective date. The Company is recognizing rent expense on a straight-line basis throughout the remaining term of the leases.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225" w:lineRule="exact"/>
        <w:rPr>
          <w:sz w:val="20"/>
          <w:szCs w:val="20"/>
          <w:color w:val="auto"/>
        </w:rPr>
      </w:pPr>
    </w:p>
    <w:p>
      <w:pPr>
        <w:ind w:left="60" w:right="539" w:firstLine="648"/>
        <w:spacing w:after="0" w:line="308" w:lineRule="auto"/>
        <w:rPr>
          <w:sz w:val="20"/>
          <w:szCs w:val="20"/>
          <w:color w:val="auto"/>
        </w:rPr>
      </w:pPr>
      <w:r>
        <w:rPr>
          <w:rFonts w:ascii="Arial" w:cs="Arial" w:eastAsia="Arial" w:hAnsi="Arial"/>
          <w:sz w:val="17"/>
          <w:szCs w:val="17"/>
          <w:color w:val="auto"/>
        </w:rPr>
        <w:t>The following table contains a summary of the lease costs recognized under ASC 842 and other information pertaining to the Company’s operating leases for the three and six months ended June 30, 2020:</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Operating leases (in thousands)</w:t>
            </w:r>
          </w:p>
        </w:tc>
        <w:tc>
          <w:tcPr>
            <w:tcW w:w="240" w:type="dxa"/>
            <w:vAlign w:val="bottom"/>
          </w:tcPr>
          <w:p>
            <w:pPr>
              <w:spacing w:after="0"/>
              <w:rPr>
                <w:sz w:val="14"/>
                <w:szCs w:val="14"/>
                <w:color w:val="auto"/>
              </w:rPr>
            </w:pPr>
          </w:p>
        </w:tc>
        <w:tc>
          <w:tcPr>
            <w:tcW w:w="2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For the three months ended</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For the six months ended</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June 30, 2020</w:t>
            </w:r>
          </w:p>
        </w:tc>
        <w:tc>
          <w:tcPr>
            <w:tcW w:w="26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Costs (1)</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Operating lease costs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information</w:t>
            </w:r>
          </w:p>
        </w:tc>
        <w:tc>
          <w:tcPr>
            <w:tcW w:w="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18"/>
                <w:szCs w:val="18"/>
                <w:color w:val="auto"/>
              </w:rPr>
            </w:pPr>
          </w:p>
        </w:tc>
        <w:tc>
          <w:tcPr>
            <w:tcW w:w="2600" w:type="dxa"/>
            <w:vAlign w:val="bottom"/>
            <w:gridSpan w:val="2"/>
          </w:tcPr>
          <w:p>
            <w:pPr>
              <w:ind w:left="1840"/>
              <w:spacing w:after="0"/>
              <w:rPr>
                <w:sz w:val="20"/>
                <w:szCs w:val="20"/>
                <w:color w:val="auto"/>
              </w:rPr>
            </w:pPr>
            <w:r>
              <w:rPr>
                <w:rFonts w:ascii="Arial" w:cs="Arial" w:eastAsia="Arial" w:hAnsi="Arial"/>
                <w:sz w:val="18"/>
                <w:szCs w:val="18"/>
                <w:color w:val="auto"/>
                <w:w w:val="87"/>
              </w:rPr>
              <w:t>10.1 years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19" w:firstLine="638"/>
        <w:spacing w:after="0" w:line="277" w:lineRule="auto"/>
        <w:tabs>
          <w:tab w:leader="none" w:pos="963"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three and six months ended June 30, 2020 were immaterial.</w:t>
      </w:r>
    </w:p>
    <w:p>
      <w:pPr>
        <w:spacing w:after="0" w:line="170"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As of June 30, 2020, future minimum commitments under ASC 842 under the Company’s operating leases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Maturity of lease liabilities (in thousands)</w:t>
            </w:r>
          </w:p>
        </w:tc>
        <w:tc>
          <w:tcPr>
            <w:tcW w:w="5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As of June 30, 2020</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2020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1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 and thereafter</w:t>
            </w:r>
          </w:p>
        </w:tc>
        <w:tc>
          <w:tcPr>
            <w:tcW w:w="5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37,324</w:t>
            </w:r>
          </w:p>
        </w:tc>
      </w:tr>
      <w:tr>
        <w:trPr>
          <w:trHeight w:val="21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14,137</w:t>
            </w:r>
          </w:p>
        </w:tc>
      </w:t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r>
      <w:tr>
        <w:trPr>
          <w:trHeight w:val="20"/>
        </w:trPr>
        <w:tc>
          <w:tcPr>
            <w:tcW w:w="5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June 30, 2020 and 2019 and the six months ended</w:t>
      </w:r>
    </w:p>
    <w:p>
      <w:pPr>
        <w:spacing w:after="0" w:line="2" w:lineRule="exact"/>
        <w:rPr>
          <w:sz w:val="20"/>
          <w:szCs w:val="20"/>
          <w:color w:val="auto"/>
        </w:rPr>
      </w:pPr>
    </w:p>
    <w:p>
      <w:pPr>
        <w:ind w:left="60" w:right="579"/>
        <w:spacing w:after="0" w:line="290" w:lineRule="auto"/>
        <w:rPr>
          <w:sz w:val="20"/>
          <w:szCs w:val="20"/>
          <w:color w:val="auto"/>
        </w:rPr>
      </w:pPr>
      <w:r>
        <w:rPr>
          <w:rFonts w:ascii="Arial" w:cs="Arial" w:eastAsia="Arial" w:hAnsi="Arial"/>
          <w:sz w:val="17"/>
          <w:szCs w:val="17"/>
          <w:color w:val="auto"/>
        </w:rPr>
        <w:t>June 30, 2020 and 2019, the Company recorded royalty expense of $0.2 million, $0.2 million, $0.4 million, and $0.4 million, respectively, in cost of product revenue on the consolidated statements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non-exclusive, non-sublicensable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In September 2019, all remaining patents related to the intellectual property expired and the license agreement terminated. As this agreement was terminated in 2019, the Company recorded no royalty expense during the three and six months ended June 30, 2020 and royalty expense of less than $0.1 million in cost of product revenue on the consolidated statements of operations during the three and six months ended June 30, 2019.</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Development and supply agreement</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upon completion of the development activities. This amount is being recorded to research and development expense and accrued expenses as the services are performed. The initial services were completed during the year ended December 31, 2018. The Company began substantive additional development activities in the first quarter of 2019. These additional development activities were continued throughout the second of 2019 and completed in the third quarter of 2019.</w:t>
      </w:r>
    </w:p>
    <w:p>
      <w:pPr>
        <w:spacing w:after="0" w:line="17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June 30, 2020, the Company has satisfied its required minimum purchase amount per the supply agreement.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June 30, 2020 and December 31, 2019 was insignificant as there was a low probability of the warrants being issued.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left="60" w:right="7619" w:hanging="10"/>
        <w:spacing w:after="0" w:line="603" w:lineRule="auto"/>
        <w:tabs>
          <w:tab w:leader="none" w:pos="33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spacing w:after="0" w:line="1" w:lineRule="exact"/>
        <w:rPr>
          <w:sz w:val="20"/>
          <w:szCs w:val="20"/>
          <w:color w:val="auto"/>
        </w:rPr>
      </w:pPr>
    </w:p>
    <w:p>
      <w:pPr>
        <w:ind w:left="60" w:right="259" w:firstLine="648"/>
        <w:spacing w:after="0" w:line="287" w:lineRule="auto"/>
        <w:rPr>
          <w:sz w:val="20"/>
          <w:szCs w:val="20"/>
          <w:color w:val="auto"/>
        </w:rPr>
      </w:pPr>
      <w:r>
        <w:rPr>
          <w:rFonts w:ascii="Arial" w:cs="Arial" w:eastAsia="Arial" w:hAnsi="Arial"/>
          <w:sz w:val="16"/>
          <w:szCs w:val="16"/>
          <w:color w:val="auto"/>
        </w:rPr>
        <w:t>On April 14, 2014, the Company executed a Loan Agreement with a lender, as subsequently amended. As of June 30, 2020, there were no additional amounts available to borrow under the debt facility. The interest rate on this term loan is variable based on a calculation of the prime rate less 5.25% with a minimum interest rate of 8%. Interest is</w:t>
      </w:r>
    </w:p>
    <w:p>
      <w:pPr>
        <w:spacing w:after="0" w:line="2" w:lineRule="exact"/>
        <w:rPr>
          <w:sz w:val="20"/>
          <w:szCs w:val="20"/>
          <w:color w:val="auto"/>
        </w:rPr>
      </w:pPr>
    </w:p>
    <w:p>
      <w:pPr>
        <w:ind w:left="60" w:right="439"/>
        <w:spacing w:after="0" w:line="271" w:lineRule="auto"/>
        <w:rPr>
          <w:sz w:val="20"/>
          <w:szCs w:val="20"/>
          <w:color w:val="auto"/>
        </w:rPr>
      </w:pPr>
      <w:r>
        <w:rPr>
          <w:rFonts w:ascii="Arial" w:cs="Arial" w:eastAsia="Arial" w:hAnsi="Arial"/>
          <w:sz w:val="17"/>
          <w:szCs w:val="17"/>
          <w:color w:val="auto"/>
        </w:rPr>
        <w:t>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5 to loan agreement</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In August 2018, the Company signed Amendment 5 to the Loan Agreement (Amendment 5). Amendment 5 instituted a 2018 End of Term Charge of $0.1 million. Additionally, the Term Loan Maturity Date extended until March 1, 2020. Amendment 5 additionally, changed the due date of the End of Term Charge to, the earlier of (i) the Term Loan Maturity Date, (ii) the date that Borrower prepays the outstanding Secured Obligations or (iii) the date that the Secured Obligations become due and payable. The Company incurred a cost of $0.05 million in relation to the execution of Amendment 5. In connection with the extension of the due date of the Loan, the deferral of principal payments (Amendment 3) was further deferred until the new Term Loan Maturity Date.</w:t>
      </w:r>
    </w:p>
    <w:p>
      <w:pPr>
        <w:spacing w:after="0" w:line="17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On March 2, 2020, the Company paid $0.1 million in end of term fees related to Amendment 5 of the Loan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6 to loan agreement</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October 2018, the Company signed Amendment 6 to the Loan Agreement, which amended the Loan Agreement’s collateral clause to exclude the $1 million certificate of deposit associated with the lease on the Company’s new headquarters in Billerica, MA.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7 to loan agreement</w:t>
      </w:r>
    </w:p>
    <w:p>
      <w:pPr>
        <w:spacing w:after="0" w:line="225"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On April 15, 2019, the Company signed Amendment 7 to the Loan Agreement, which extends the interest only payment period through July 1, 2021 and also extends the maturity date until October 1, 2021. As part of this Amendment 7, a “2019 End of Term Charge” for $50,000 was added to the Loan Agreement due on the earliest to occur of (i) the Term Loan Maturity Date, (ii) the date that the Company prepays the outstanding Secured Obligations and (iii) the date that the Secured Obligations become due and payable. In addition, the Company is required to pay the loan principal in five equal installments starting July 1, 2021 with the final principal payment to be made on October 1, 2021.</w:t>
      </w:r>
    </w:p>
    <w:p>
      <w:pPr>
        <w:spacing w:after="0" w:line="16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As of June 30, 2020, the remaining loan balance is classified as a long term liability since all principal payments are due greater than twelve months after the balance sheet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June 30, 2020, debt payment obligations due based on principal payments are as follows (in thousands):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7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$ 0.1 million or less for each of the three and six months ended June 30, 2020 and 2019.</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0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Company has entered into certain licenses with other companies for use of Uman’s technology. These licenses have royalty components which the Company earns and recognizes royalty revenue from throughout the year. The Company recognized revenue of less than $0.1 million and $0.2 million for the three and six months ended June 30, 2020, respectively, as collaboration and license revenue. The Company did not earn and recognize any royalty revenue from license agreements prior to the Company’s acquisition of Uman.</w:t>
      </w:r>
    </w:p>
    <w:p>
      <w:pPr>
        <w:spacing w:after="0" w:line="188"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As of June 30, 2020 and December 31, 2019, the Company had $1.7 million and $1.7 million, respectively, of deferred revenue related to ongoing negotiations with a diagnostics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left="60" w:right="739" w:firstLine="648"/>
        <w:spacing w:after="0" w:line="279" w:lineRule="auto"/>
        <w:rPr>
          <w:sz w:val="20"/>
          <w:szCs w:val="20"/>
          <w:color w:val="auto"/>
        </w:rPr>
      </w:pPr>
      <w:r>
        <w:rPr>
          <w:rFonts w:ascii="Arial" w:cs="Arial" w:eastAsia="Arial" w:hAnsi="Arial"/>
          <w:sz w:val="17"/>
          <w:szCs w:val="17"/>
          <w:color w:val="auto"/>
        </w:rPr>
        <w:t>The Company sponsors a 401(k) savings plan for its employees. The Company may make discretionary contributions for each 401(k) plan year. During the three and six months ended June 30, 2020, the Company made contributions of $0.2 million and $0.3 million, respectively. During three and six months ended June 30, 2019, the Company made contributions of $0.1 million and $0.3 million,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Business combinations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UmanDiagnostics AB</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w:t>
      </w:r>
    </w:p>
    <w:p>
      <w:pPr>
        <w:spacing w:after="0" w:line="13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spacing w:after="0" w:line="14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has accounted for the acquisition of Uman as a purchase of a business under U.S. GAAP. Under the acquisition method of accounting, the assets and liabilities of Uman are recorded as of the acquisition date of July 1, 2019, generally at their respective fair values, and consolidated with those of the Company. Purchase consideration in excess of the amounts recognized for the net assets acquired was recognized as goodwill and is not expected to be tax deductible in any taxing jurisdiction.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table summarizes the amounts recognized for the acquisition, net of $1.2 million in cash and cash equivalents acquired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Cash and stock paid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21,217</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acquired</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09"/>
        </w:trPr>
        <w:tc>
          <w:tcPr>
            <w:tcW w:w="7560" w:type="dxa"/>
            <w:vAlign w:val="bottom"/>
          </w:tcPr>
          <w:p>
            <w:pPr>
              <w:ind w:left="440"/>
              <w:spacing w:after="0"/>
              <w:rPr>
                <w:sz w:val="20"/>
                <w:szCs w:val="20"/>
                <w:color w:val="auto"/>
              </w:rPr>
            </w:pPr>
            <w:r>
              <w:rPr>
                <w:rFonts w:ascii="Arial" w:cs="Arial" w:eastAsia="Arial" w:hAnsi="Arial"/>
                <w:sz w:val="18"/>
                <w:szCs w:val="18"/>
                <w:color w:val="auto"/>
              </w:rPr>
              <w:t>Purchase price,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19,996</w:t>
            </w:r>
          </w:p>
        </w:tc>
      </w:tr>
      <w:tr>
        <w:trPr>
          <w:trHeight w:val="216"/>
        </w:trPr>
        <w:tc>
          <w:tcPr>
            <w:tcW w:w="7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Assets (liabilities) acquired: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8,111</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Accrued expense and other current liabilities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19,996</w:t>
            </w:r>
          </w:p>
        </w:tc>
      </w:tr>
    </w:tbl>
    <w:p>
      <w:pPr>
        <w:spacing w:after="0" w:line="18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Revenue and net income related to Uman’s operations was $0.4 million and $0.1 million, respectively, for the three months ended June 30, 2020, and $1.2 million and $0.6 million, respectively, for the six months ended June 30, 2020, and is included in the Company’s consolidated statements of operations.</w:t>
      </w:r>
    </w:p>
    <w:p>
      <w:pPr>
        <w:spacing w:after="0" w:line="184"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The following unaudited pro forma information presents the condensed consolidated results of operations of the Company and Uman for the three and six months ended June 30, 2019 as if the acquisition of Uman had been completed on January 1, 2018.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spacing w:after="0" w:line="16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jc w:val="right"/>
              <w:ind w:right="359"/>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384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June 30, 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June 30, 2019</w:t>
            </w: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(unaudited)</w:t>
            </w:r>
          </w:p>
        </w:tc>
        <w:tc>
          <w:tcPr>
            <w:tcW w:w="1960" w:type="dxa"/>
            <w:vAlign w:val="bottom"/>
            <w:shd w:val="clear" w:color="auto" w:fill="CCEEFF"/>
          </w:tcPr>
          <w:p>
            <w:pPr>
              <w:jc w:val="right"/>
              <w:ind w:right="17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26,735</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Pre-tax loss (unaudited)</w:t>
            </w:r>
          </w:p>
        </w:tc>
        <w:tc>
          <w:tcPr>
            <w:tcW w:w="1960" w:type="dxa"/>
            <w:vAlign w:val="bottom"/>
          </w:tcPr>
          <w:p>
            <w:pPr>
              <w:jc w:val="right"/>
              <w:ind w:right="1779"/>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(9,830)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(18,856)</w:t>
            </w:r>
          </w:p>
        </w:tc>
      </w:tr>
    </w:tbl>
    <w:p>
      <w:pPr>
        <w:spacing w:after="0" w:line="187" w:lineRule="exact"/>
        <w:rPr>
          <w:sz w:val="20"/>
          <w:szCs w:val="20"/>
          <w:color w:val="auto"/>
        </w:rPr>
      </w:pPr>
    </w:p>
    <w:p>
      <w:pPr>
        <w:ind w:left="60" w:right="439" w:firstLine="648"/>
        <w:spacing w:after="0" w:line="279" w:lineRule="auto"/>
        <w:rPr>
          <w:sz w:val="20"/>
          <w:szCs w:val="20"/>
          <w:color w:val="auto"/>
        </w:rPr>
      </w:pPr>
      <w:r>
        <w:rPr>
          <w:rFonts w:ascii="Arial" w:cs="Arial" w:eastAsia="Arial" w:hAnsi="Arial"/>
          <w:sz w:val="17"/>
          <w:szCs w:val="17"/>
          <w:color w:val="auto"/>
        </w:rPr>
        <w:t>The Company recorded no costs associated with the acquisition of Uman for each of the three and six months ended June 30, 2020. For each of the three and six months ended June 30, 2019, the Company incurred $0.9 million in costs associated with the acquisition of Uman. Costs associated with the acquisition of Uman are recorded as selling, general, and administrative expenses within the consolidated statements of operations.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Goodwill and acquired intangible assets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2020, the carrying amount of goodwill was $9.4 million. The following is a rollforward of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goodwill balance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Cumulative translation adjustment</w:t>
            </w: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60" w:type="dxa"/>
            <w:vAlign w:val="bottom"/>
            <w:gridSpan w:val="12"/>
            <w:vMerge w:val="restart"/>
          </w:tcPr>
          <w:p>
            <w:pPr>
              <w:ind w:left="640"/>
              <w:spacing w:after="0"/>
              <w:rPr>
                <w:sz w:val="20"/>
                <w:szCs w:val="20"/>
                <w:color w:val="auto"/>
              </w:rPr>
            </w:pPr>
            <w:r>
              <w:rPr>
                <w:rFonts w:ascii="Arial" w:cs="Arial" w:eastAsia="Arial" w:hAnsi="Arial"/>
                <w:sz w:val="18"/>
                <w:szCs w:val="18"/>
                <w:color w:val="auto"/>
                <w:w w:val="92"/>
              </w:rPr>
              <w:t>Acquired intangible assets as of June 30, 2020 consist of the following (in thousands):</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696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Estimated Useful</w:t>
            </w:r>
          </w:p>
        </w:tc>
        <w:tc>
          <w:tcPr>
            <w:tcW w:w="12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5"/>
              </w:rPr>
              <w:t>Accumulated</w:t>
            </w:r>
          </w:p>
        </w:tc>
        <w:tc>
          <w:tcPr>
            <w:tcW w:w="9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Cumulative</w:t>
            </w:r>
          </w:p>
        </w:tc>
        <w:tc>
          <w:tcPr>
            <w:tcW w:w="120" w:type="dxa"/>
            <w:vAlign w:val="bottom"/>
          </w:tcPr>
          <w:p>
            <w:pPr>
              <w:spacing w:after="0"/>
              <w:rPr>
                <w:sz w:val="10"/>
                <w:szCs w:val="10"/>
                <w:color w:val="auto"/>
              </w:rPr>
            </w:pPr>
          </w:p>
        </w:tc>
        <w:tc>
          <w:tcPr>
            <w:tcW w:w="8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Net</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vMerge w:val="continue"/>
          </w:tcPr>
          <w:p>
            <w:pPr>
              <w:spacing w:after="0"/>
              <w:rPr>
                <w:sz w:val="13"/>
                <w:szCs w:val="13"/>
                <w:color w:val="auto"/>
              </w:rPr>
            </w:pPr>
          </w:p>
        </w:tc>
        <w:tc>
          <w:tcPr>
            <w:tcW w:w="94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8"/>
              </w:rPr>
              <w:t>Translation</w:t>
            </w:r>
          </w:p>
        </w:tc>
        <w:tc>
          <w:tcPr>
            <w:tcW w:w="120" w:type="dxa"/>
            <w:vAlign w:val="bottom"/>
          </w:tcPr>
          <w:p>
            <w:pPr>
              <w:spacing w:after="0"/>
              <w:rPr>
                <w:sz w:val="13"/>
                <w:szCs w:val="13"/>
                <w:color w:val="auto"/>
              </w:rPr>
            </w:pPr>
          </w:p>
        </w:tc>
        <w:tc>
          <w:tcPr>
            <w:tcW w:w="8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Amortization Adjustment</w:t>
            </w:r>
          </w:p>
        </w:tc>
        <w:tc>
          <w:tcPr>
            <w:tcW w:w="120" w:type="dxa"/>
            <w:vAlign w:val="bottom"/>
          </w:tcPr>
          <w:p>
            <w:pPr>
              <w:spacing w:after="0"/>
              <w:rPr>
                <w:sz w:val="15"/>
                <w:szCs w:val="15"/>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Life Remaining</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Acquired intangible assets as of December 31, 2019 consist of the following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577"/>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Estimated Useful</w:t>
            </w:r>
          </w:p>
        </w:tc>
        <w:tc>
          <w:tcPr>
            <w:tcW w:w="12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Cumulative</w:t>
            </w:r>
          </w:p>
        </w:tc>
        <w:tc>
          <w:tcPr>
            <w:tcW w:w="120" w:type="dxa"/>
            <w:vAlign w:val="bottom"/>
          </w:tcPr>
          <w:p>
            <w:pPr>
              <w:spacing w:after="0"/>
              <w:rPr>
                <w:sz w:val="10"/>
                <w:szCs w:val="10"/>
                <w:color w:val="auto"/>
              </w:rPr>
            </w:pPr>
          </w:p>
        </w:tc>
        <w:tc>
          <w:tcPr>
            <w:tcW w:w="7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Carrying</w:t>
            </w:r>
          </w:p>
        </w:tc>
        <w:tc>
          <w:tcPr>
            <w:tcW w:w="900" w:type="dxa"/>
            <w:vAlign w:val="bottom"/>
            <w:gridSpan w:val="3"/>
            <w:vMerge w:val="continue"/>
          </w:tcPr>
          <w:p>
            <w:pPr>
              <w:spacing w:after="0"/>
              <w:rPr>
                <w:sz w:val="13"/>
                <w:szCs w:val="13"/>
                <w:color w:val="auto"/>
              </w:rPr>
            </w:pPr>
          </w:p>
        </w:tc>
        <w:tc>
          <w:tcPr>
            <w:tcW w:w="9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8"/>
              </w:rPr>
              <w:t>Translation</w:t>
            </w:r>
          </w:p>
        </w:tc>
        <w:tc>
          <w:tcPr>
            <w:tcW w:w="120" w:type="dxa"/>
            <w:vAlign w:val="bottom"/>
          </w:tcPr>
          <w:p>
            <w:pPr>
              <w:spacing w:after="0"/>
              <w:rPr>
                <w:sz w:val="13"/>
                <w:szCs w:val="13"/>
                <w:color w:val="auto"/>
              </w:rPr>
            </w:pPr>
          </w:p>
        </w:tc>
        <w:tc>
          <w:tcPr>
            <w:tcW w:w="72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8"/>
              </w:rPr>
              <w:t>Amortization Adjustment</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Life Remaining</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20" w:firstLine="648"/>
        <w:spacing w:after="0" w:line="255" w:lineRule="auto"/>
        <w:rPr>
          <w:sz w:val="20"/>
          <w:szCs w:val="20"/>
          <w:color w:val="auto"/>
        </w:rPr>
      </w:pPr>
      <w:r>
        <w:rPr>
          <w:rFonts w:ascii="Arial" w:cs="Arial" w:eastAsia="Arial" w:hAnsi="Arial"/>
          <w:sz w:val="18"/>
          <w:szCs w:val="18"/>
          <w:color w:val="auto"/>
        </w:rPr>
        <w:t>The Company acquired $13.5 million of intangible assets in the Uman acquisition, of which $13.0 million was assigned to know-how, $0.4 million was assigned to non-compete agreements, and $0.1 million was assigned to customer relationships. The know-how and customer relationships intangible assets are being amortized on a straight-line basis over an 8.5 year amortization period, and the non-compete agreement intangible asset is being amortized on a straight-line basis over a 5.5 year amortization period. In total, the weighted-average amortization period for these intangible assets is 8.4 years.</w:t>
      </w:r>
    </w:p>
    <w:p>
      <w:pPr>
        <w:spacing w:after="0" w:line="152" w:lineRule="exact"/>
        <w:rPr>
          <w:sz w:val="20"/>
          <w:szCs w:val="20"/>
          <w:color w:val="auto"/>
        </w:rPr>
      </w:pPr>
    </w:p>
    <w:p>
      <w:pPr>
        <w:ind w:left="60" w:right="160" w:firstLine="648"/>
        <w:spacing w:after="0" w:line="254" w:lineRule="auto"/>
        <w:rPr>
          <w:sz w:val="20"/>
          <w:szCs w:val="20"/>
          <w:color w:val="auto"/>
        </w:rPr>
      </w:pPr>
      <w:r>
        <w:rPr>
          <w:rFonts w:ascii="Arial" w:cs="Arial" w:eastAsia="Arial" w:hAnsi="Arial"/>
          <w:sz w:val="18"/>
          <w:szCs w:val="18"/>
          <w:color w:val="auto"/>
        </w:rPr>
        <w:t>The Company recorded amortization expense of $0.5 million and $1.0 million for the three and six months ended June 30, 2020, respectively, and $0.1 million and $0.3 million for the three and six months ended June 30, 2019,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goods sold.</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June 30, 2020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Estimated Amortization Expense</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w:t>
            </w:r>
          </w:p>
        </w:tc>
      </w:tr>
      <w:tr>
        <w:trPr>
          <w:trHeight w:val="209"/>
        </w:trPr>
        <w:tc>
          <w:tcPr>
            <w:tcW w:w="6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and six months ended June 30, 2020 and the three and six months ended June 30, 2019, the Company recorded royalty expense of $0.2 million, $0.4 million, $0.2 million and $0.4 million, respectively, in cost of product revenue on the consolidated statements of operations.</w:t>
      </w:r>
    </w:p>
    <w:p>
      <w:pPr>
        <w:spacing w:after="0" w:line="176" w:lineRule="exact"/>
        <w:rPr>
          <w:sz w:val="20"/>
          <w:szCs w:val="20"/>
          <w:color w:val="auto"/>
        </w:rPr>
      </w:pPr>
    </w:p>
    <w:p>
      <w:pPr>
        <w:jc w:val="both"/>
        <w:ind w:left="60" w:right="279" w:firstLine="648"/>
        <w:spacing w:after="0" w:line="286"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were less than $0.1 million for each of the three and six months ended June 30, 2020 and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0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following shows the changes in the components of accumulated other comprehensive loss for the six months ended June 30, 2020 which consisted of only foreign currency translation adjustments for the periods shown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7"/>
                <w:szCs w:val="17"/>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June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18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Company had no significant subsequent events for the period June 30, 2020 through the filing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2019,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2019</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China, Czech Republic, India, Israel, Japan, Lebanon, Mexico, Qatar, Saudi Arabia, Singapore, South Korea and Taiwan.</w:t>
      </w:r>
    </w:p>
    <w:p>
      <w:pPr>
        <w:spacing w:after="0" w:line="18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ahead of our original fourth quarter expectation. As the installed base of the Simoa instruments increases, total consumables revenue overall is expected to increase. We believe that consumables revenue should be subject to less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period-to-period fluctuation than our instrument sales revenue, and will become an increasingly important contributor to our overall revenue.</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On January 30, 2018, we acquired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6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On August 1, 2019, we completed our acquisition of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78" w:lineRule="exact"/>
        <w:rPr>
          <w:sz w:val="20"/>
          <w:szCs w:val="20"/>
          <w:color w:val="auto"/>
        </w:rPr>
      </w:pPr>
    </w:p>
    <w:p>
      <w:pPr>
        <w:jc w:val="both"/>
        <w:ind w:left="60" w:right="119" w:firstLine="648"/>
        <w:spacing w:after="0" w:line="273" w:lineRule="auto"/>
        <w:rPr>
          <w:sz w:val="20"/>
          <w:szCs w:val="20"/>
          <w:color w:val="auto"/>
        </w:rPr>
      </w:pPr>
      <w:r>
        <w:rPr>
          <w:rFonts w:ascii="Arial" w:cs="Arial" w:eastAsia="Arial" w:hAnsi="Arial"/>
          <w:sz w:val="17"/>
          <w:szCs w:val="17"/>
          <w:color w:val="auto"/>
        </w:rPr>
        <w:t>We are subject to ongoing uncertainty concerning the COVID-19 pandemic, including its length and severity and its effect on our business. During the first and second quarters, we implemented a resiliency plan focused on the health and safety of our employees and maintaining continuity of our operations. We have seen an impact on instrument revenue due to limitations on our ability to access certain customer sites and complete instrument installations, as well as an impact on consumables revenue from interruptions in certain customer laboratories. We expect these COVID-19 related challenges to continue until these customers return to normal operations.</w:t>
      </w:r>
    </w:p>
    <w:p>
      <w:pPr>
        <w:spacing w:after="0" w:line="17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view of the pandemic, we have adjusted our operations to expand capacity in our Accelerator Laboratory to support customers whose operations have been disrupted and to sustain clinical trials. We also believe that our cytokine assay technology provides researchers with important and differentiated tools to study disease progression, cytokine release syndrome, and patient-treatment response in the fight against COVID-19. We are also working towards developing a SARS-COV-2 quantitative IgG assay, an antigen early detection assay in blood, and a high-definition SARS-COV-2 assay to enable research pursuits. We believe that these activities may provide additional business and revenue opportunities as the situation unfolds.</w:t>
      </w:r>
    </w:p>
    <w:p>
      <w:pPr>
        <w:spacing w:after="0" w:line="19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our Annual Report on Form 10-K for the year ended December 31, 2019 as updated by “Part II, Item 1A, Risk Factors” of our Quarterly Report on Form 10-Q for the quarter ended March 31, 2020. We will continue to evaluate the nature and extent of the impact to our business, financial condition, and operating results.</w:t>
      </w:r>
    </w:p>
    <w:p>
      <w:pPr>
        <w:spacing w:after="0" w:line="17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As of June 30, 2020, we had cash and cash equivalents of $88.8 million. Since inception, we have incurred net losses. Our net loss was $40.8 million, $31.5 million, and $27.0 million for the years ended December 31, 2019, 2018 and 2017, respectively, and $23.9 million and $20.0 million for the six months ended June 30, 2020 and 2019, respectively. As of June 30, 2020, we had an accumulated deficit of $240.2 million and stockholders' equity of $111.0 million. We expect to continue to incur significant expenses and operating losses at least through the next 24 months. We expect our expenses will increase substantially as we:</w:t>
      </w:r>
    </w:p>
    <w:p>
      <w:pPr>
        <w:spacing w:after="0" w:line="233" w:lineRule="exact"/>
        <w:rPr>
          <w:sz w:val="20"/>
          <w:szCs w:val="20"/>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80" w:right="259" w:hanging="655"/>
        <w:spacing w:after="0" w:line="323"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 our research and development efforts to improve our existing products and develop and launch new products, particularly if any of our products are deemed by the United States Food and Drug</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Administration, or FDA, to be medical devices or otherwise subject to additional regulation by the FDA;</w:t>
      </w:r>
    </w:p>
    <w:p>
      <w:pPr>
        <w:spacing w:after="0" w:line="23" w:lineRule="exact"/>
        <w:rPr>
          <w:sz w:val="20"/>
          <w:szCs w:val="20"/>
          <w:color w:val="auto"/>
        </w:rPr>
      </w:pPr>
    </w:p>
    <w:p>
      <w:pPr>
        <w:jc w:val="both"/>
        <w:ind w:left="1380" w:right="27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premarket approval, or PMA, or 510(k) clearance, or emergency use authorization, or EUA,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2020 and June 30, 2019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(1,986)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25"/>
        </w:trPr>
        <w:tc>
          <w:tcPr>
            <w:tcW w:w="3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13,130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13,536</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Total costs of goods sold and services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432"/>
        </w:trPr>
        <w:tc>
          <w:tcPr>
            <w:tcW w:w="30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13,102</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13,429</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133 %</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129 %</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(357)%</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Total revenue decreased by $0.4 million, or 3%, to $13.1 million for the three months ended June 30, 2020 as compared to $13.5 million for the three months ended June 30, 2019. Product revenue consisted primarily of sales of instruments totaling $2.8 million and sales of consumables and other products of $4.0 million for the three months ended June 30, 2020. Product revenue consisted of sales of instruments totaling $2.7 million and sales of consumables and other products totaling $6.1 million for the three months ended June 30, 2019. The decrease in product revenue of $2.0 million was primarily impacted by a decrease in consumable orders from interruptions in certain customers’ laboratories due to COVID-19, along with limitations in our ability to access certain customer sites and complete instrument installations due to COVID-19. The impact of COVID-19 on product revenue was offset in part by an increase in service and other revenue of $1.6 million due to increased services performed in our Accelerator Laboratory. We had less than $0.1 million in collaboration and license revenue in the three months ended June 30, 2020 related to licensing technology and intellectual property.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revenue increased by $1.0 million, or 22%, to $5.4 million for the three months ended</w:t>
      </w:r>
    </w:p>
    <w:p>
      <w:pPr>
        <w:spacing w:after="0" w:line="23"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June 30, 2020 as compared to $4.5 million for the three months ended June 30, 2019. The increase was primarily due to a higher proportion of instrument sales coupled with a lower proportion of consumables sales in our product mix, as well as costs incurred from the amortization of the Uman acquisition-related inventory valuation adjustment and acquired intangibles. Cost of service revenue increased to $2.5 million for the three months ended June 30, 2020 from $2.2 million for the three months ended June 30, 2019. The increase was primarily due to higher utilization of the Accelerator Laboratory, plus increased personnel costs from the build out of our field service organization. Overall cost of goods sold as a percentage of revenue increased to 60% of total revenue for the three months ended June 30, 2020 as compared to 49% for the three months ended June 30, 2019, primarily as a result of product mix and the amortization of acquisition-related acquired intangibles and inventory valuation adjustments.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Research and development expense increased by $0.3 million, or 7%, to $4.3 million for the three months ended June 30, 2020 as compared to $4.0 million for the three months ended June 30, 2019. The increase was primarily due to the increased headcount in research and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Selling, general and administrative expense decreased by $0.3 million, or 2%, to $13.1 million for the three months ended June 30, 2020 as compared to $13.4 million for the three months ended June 30, 2019. The decrease was primarily due to the $0.9 million of costs associated with the acquisition of Uman during the three months ended June 30, 2019, offset by headcount additions in various departments as we build out our organization to support future growth, the lease for the new headquarters, and stock compensation expense.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(Expense) and Other Expense,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Interest income (expense) and other expense, net decreased by $0.1 million for the three months ended</w:t>
      </w:r>
    </w:p>
    <w:p>
      <w:pPr>
        <w:spacing w:after="0" w:line="35" w:lineRule="exact"/>
        <w:rPr>
          <w:sz w:val="20"/>
          <w:szCs w:val="20"/>
          <w:color w:val="auto"/>
        </w:rPr>
      </w:pPr>
    </w:p>
    <w:p>
      <w:pPr>
        <w:ind w:left="60" w:right="139"/>
        <w:spacing w:after="0" w:line="323" w:lineRule="auto"/>
        <w:rPr>
          <w:sz w:val="20"/>
          <w:szCs w:val="20"/>
          <w:color w:val="auto"/>
        </w:rPr>
      </w:pPr>
      <w:r>
        <w:rPr>
          <w:rFonts w:ascii="Arial" w:cs="Arial" w:eastAsia="Arial" w:hAnsi="Arial"/>
          <w:sz w:val="16"/>
          <w:szCs w:val="16"/>
          <w:color w:val="auto"/>
        </w:rPr>
        <w:t>June 30, 2020 as compared to same period in 2019, primarily due to decreased interest income earned on cash equivalents, as COVID-19 unfavorably impacted interest rates on our cash equivalents during the three months ended June 30, 2020.</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left="60" w:right="779" w:firstLine="648"/>
        <w:spacing w:after="0" w:line="263" w:lineRule="auto"/>
        <w:rPr>
          <w:sz w:val="20"/>
          <w:szCs w:val="20"/>
          <w:color w:val="auto"/>
        </w:rPr>
      </w:pPr>
      <w:r>
        <w:rPr>
          <w:rFonts w:ascii="Arial" w:cs="Arial" w:eastAsia="Arial" w:hAnsi="Arial"/>
          <w:sz w:val="18"/>
          <w:szCs w:val="18"/>
          <w:color w:val="auto"/>
        </w:rPr>
        <w:t>Income tax benefit was less than $0.1 million for the three months ended June 30, 2020 as compared to a provision of less than $0.1 million for the same period in 2019. The change is primarily due to certain state and international taxes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2020 and June 30, 2019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revenue</w:t>
            </w:r>
          </w:p>
        </w:tc>
        <w:tc>
          <w:tcPr>
            <w:tcW w:w="20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(1,699)</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2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14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100 %</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25,872</w:t>
            </w:r>
          </w:p>
        </w:tc>
        <w:tc>
          <w:tcPr>
            <w:tcW w:w="1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11,602</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revenue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of goods sold and services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42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35,955</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125 %</w:t>
            </w:r>
          </w:p>
        </w:tc>
        <w:tc>
          <w:tcPr>
            <w:tcW w:w="1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4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127 %</w:t>
            </w:r>
          </w:p>
        </w:tc>
        <w:tc>
          <w:tcPr>
            <w:tcW w:w="16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6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423 %</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(3,944)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Revenue increased by $3.0 million, or 12%, to $28.9 million for the six months ended June 30, 2020 as compared to $25.9 million for the six months ended June 30, 2019. Product revenue consisted primarily of sales of instruments totaling $6.5 million and sales of consumables and other products of $10.1 million for the six months ended June 30, 2020. Product revenue consisted of sales of instruments totaling $6.1 million and sales of consumables and other products totaling $12.2 million for the six months ended June 30, 2019. The decrease in product revenue of $1.7 million was primarily impacted by a decrease in consumables orders from interruptions in certain customers’ laboratories due to COVID-19. The increase in service and other revenue of $4.5 million was due to increased services performed in our Accelerator Laboratory. We had $0.2 million in collaboration and license revenue in the six months ended June 30, 2020 related to licensing technology and intellectual property.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Cost of product revenue increased by $2.9 million, or 33%, to $11.6 million for the six months ended</w:t>
      </w:r>
    </w:p>
    <w:p>
      <w:pPr>
        <w:spacing w:after="0" w:line="23"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June 30, 2020 as compared to $8.7 million for the six months ended June 30, 2019. The increase was primarily due to a higher proportion of instrument sales coupled with a lower proportion of consumables sales in our product mix, as well as costs incurred from the amortization of the Uman acquisition-related inventory valuation adjustment and acquired intangibles. Cost of service revenue increased to $5.2 million for the six months ended June 30, 2020 from $4.2 million for the six months ended June 30, 2019. The increase was primarily due to higher utilization of the Accelerator Laboratory, plus increased personnel costs from the build out of our field service organization. Overall cost of goods sold as a percentage of revenue increased to 58% of total revenue for the six months ended June 30, 2020 as compared to 50% for the six months ended June 30, 2019, primarily as a result of increased sales and utilization of the Accelerator Laboratory, product mix, and the amortization of acquisition related acquired intangibles and inventory valuation adjustments.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Research and development expense increased by $0.7 million, or 9%, to $8.6 million for the six months ended June 30, 2020 as compared to $7.9 million for the six months ended June 30, 2019. The increase was primarily due to the increased headcount in research and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Selling, general, and administrative expense increased by $2.4 million, or 10%, to $27.4 million for the six months ended June 30, 2020 as compared to $24.9 million for the six months ended June 30, 2019. The increase was primarily due to headcount additions in various departments as we build out our organization to support future growth, the lease for the new headquarters, and stock compensation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25" w:lineRule="exact"/>
        <w:rPr>
          <w:sz w:val="20"/>
          <w:szCs w:val="20"/>
          <w:color w:val="auto"/>
        </w:rPr>
      </w:pPr>
    </w:p>
    <w:p>
      <w:pPr>
        <w:jc w:val="both"/>
        <w:ind w:left="60" w:right="559" w:firstLine="648"/>
        <w:spacing w:after="0" w:line="286" w:lineRule="auto"/>
        <w:rPr>
          <w:sz w:val="20"/>
          <w:szCs w:val="20"/>
          <w:color w:val="auto"/>
        </w:rPr>
      </w:pPr>
      <w:r>
        <w:rPr>
          <w:rFonts w:ascii="Arial" w:cs="Arial" w:eastAsia="Arial" w:hAnsi="Arial"/>
          <w:sz w:val="17"/>
          <w:szCs w:val="17"/>
          <w:color w:val="auto"/>
        </w:rPr>
        <w:t>Interest income and other expense, net decreased slightly by less than $0.1 million for the six months ended June 30, 2020 as compared to the same period in 2019, primarily due to the unfavorable impact of COVID-19 on the interest rates of our cash equivalents during the six months ended June 30,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Income tax benefit was $0.1 million for the six months ended June 30, 2020 as compared to a provision of less than $0.1 million for the same period in 2019. The change is primarily due to certain state and international taxes in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93"/>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Offerings</w:t>
      </w:r>
    </w:p>
    <w:p>
      <w:pPr>
        <w:spacing w:after="0" w:line="26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21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March 19, 2019, we entered into a Sales Agreement for an “at the market offering” arrangement with Cowen, which allows us to issue and sell shares of common stock pursuant to a shelf registration statement for total gross sales proceeds of up to $50.0 million from time to time through Cowen, acting as our agent. During the 2019 fiscal year, we sold an aggregate of 2,186,163 shares of common stock pursuant to this agreement resulting in $49.7 million in gross proceeds and $48.0 million in net proceeds.</w:t>
      </w:r>
    </w:p>
    <w:p>
      <w:pPr>
        <w:spacing w:after="0" w:line="188"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On August 8, 2019, we entered into an underwriting agreement with J.P. Morgan Securities LLC and SVB Leerink LLC, as representatives of the several underwriters, relating to an underwritten public offering of 2,732,673 shares of common stock at a public offering price of $25.25 per share. We received $69.0 million in gross proceeds and $64.5 million in net proceeds.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Facility with Hercules</w:t>
      </w:r>
    </w:p>
    <w:p>
      <w:pPr>
        <w:spacing w:after="0" w:line="26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209"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22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In January 2016, we executed Amendment 2 to the Loan Agreement, which increased the total facility available by $5.0 million to a total of $15.0 million and further delayed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March 2017, we signed Amendment 3 to the Loan Agreement increasing the total facility available by</w:t>
      </w:r>
    </w:p>
    <w:p>
      <w:pPr>
        <w:spacing w:after="0" w:line="23" w:lineRule="exact"/>
        <w:rPr>
          <w:sz w:val="20"/>
          <w:szCs w:val="20"/>
          <w:color w:val="auto"/>
        </w:rPr>
      </w:pPr>
    </w:p>
    <w:p>
      <w:pPr>
        <w:ind w:left="60" w:right="179"/>
        <w:spacing w:after="0" w:line="295" w:lineRule="auto"/>
        <w:rPr>
          <w:sz w:val="20"/>
          <w:szCs w:val="20"/>
          <w:color w:val="auto"/>
        </w:rPr>
      </w:pPr>
      <w:r>
        <w:rPr>
          <w:rFonts w:ascii="Arial" w:cs="Arial" w:eastAsia="Arial" w:hAnsi="Arial"/>
          <w:sz w:val="16"/>
          <w:szCs w:val="16"/>
          <w:color w:val="auto"/>
        </w:rPr>
        <w:t>$5.0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w:t>
      </w:r>
    </w:p>
    <w:p>
      <w:pPr>
        <w:sectPr>
          <w:pgSz w:w="11900" w:h="16838" w:orient="portrait"/>
          <w:cols w:equalWidth="0" w:num="1">
            <w:col w:w="9019"/>
          </w:cols>
          <w:pgMar w:left="1440" w:top="517"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20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22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were paid in March 2020.</w:t>
      </w:r>
    </w:p>
    <w:p>
      <w:pPr>
        <w:spacing w:after="0" w:line="21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212"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On April 15, 2019, we signed Amendment 7 to the Loan Agreement, which extends the interest only payment period through July 1, 2021 and also extends the loan maturity date to October 1, 2021. We are required to pay the loan principal in five equal installments starting July 1, 2021 with the final principal payment to be made on October 1, 2021.</w:t>
      </w:r>
    </w:p>
    <w:p>
      <w:pPr>
        <w:spacing w:after="0" w:line="189" w:lineRule="exact"/>
        <w:rPr>
          <w:sz w:val="20"/>
          <w:szCs w:val="20"/>
          <w:color w:val="auto"/>
        </w:rPr>
      </w:pPr>
    </w:p>
    <w:p>
      <w:pPr>
        <w:ind w:left="60" w:right="599" w:firstLine="648"/>
        <w:spacing w:after="0" w:line="308" w:lineRule="auto"/>
        <w:rPr>
          <w:sz w:val="20"/>
          <w:szCs w:val="20"/>
          <w:color w:val="auto"/>
        </w:rPr>
      </w:pPr>
      <w:r>
        <w:rPr>
          <w:rFonts w:ascii="Arial" w:cs="Arial" w:eastAsia="Arial" w:hAnsi="Arial"/>
          <w:sz w:val="17"/>
          <w:szCs w:val="17"/>
          <w:color w:val="auto"/>
        </w:rPr>
        <w:t>On July 2, 2019, 66,041 warrants were exercised by Hercules on a net, non-cash, basis. Per the terms of the warrant agreement, we issued 45,690 shares of common stock with a value equal to Hercules’ gain.</w:t>
      </w:r>
    </w:p>
    <w:p>
      <w:pPr>
        <w:spacing w:after="0" w:line="173"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principal repayments, including the end of term fees, due as of June 30, 2020 are (in thousands):</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780" w:type="dxa"/>
            <w:vAlign w:val="bottom"/>
            <w:tcBorders>
              <w:top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Uman Acquisition</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56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5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(20,600)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(12,820)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50,272</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(20,485)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27,622</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Net cash used in operating activities was $20.6 million during the six months ended June 30, 2020. The net cash used in operating activities primarily consisted of the net loss of $23.9 million offset by non-cash charges of $4.6 million of stock-based compensation expense and $2.1 million of depreciation and amortization expense. Cash used as a result of changes in operating assets and liabilities of $3.8 million was primarily due to an increase in inventory of $3.5 million, a decrease in accounts receivable of $1.4 million, a decrease in accrued compensation and benefits, other accrued expenses and other current liabilities of $1.0 million, and a decrease in accounts payable of $1.0 million.</w:t>
      </w:r>
    </w:p>
    <w:p>
      <w:pPr>
        <w:spacing w:after="0" w:line="16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Net cash used in operating activities was $12.8 million during the six months ended June 30, 2019. The net loss of $20.0 million includes non-cash charges of $2.9 million of stock-based compensation expense and $1.0 million of depreciation and amortization. Cash used as a result of changes in operating assets and liabilities of $3.3 million was primarily due to a $9.4 million increase in other non-current liabilities primarily related to our new lease, an increase in accounts receivable of $2.3 million, an increase in inventory of $2.9 million, and a decrease in accounts payable of $1.6 million.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We used $1.4 million of cash in investing activities during the six months ended June 30, 2020 for the purchase of property and equipment.</w:t>
      </w:r>
    </w:p>
    <w:p>
      <w:pPr>
        <w:spacing w:after="0" w:line="170"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We used $9.8 million of cash in investing activities during the six months ended June 30, 2019 consisting of cash paid for purchases of capital equipment to support our infrastructure. The significant increase was related to the leasehold improvements for our new headquarters, which is a component of our lease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Financing activities provided $1.5 million of cash during the six months ended June 30, 2020, primarily from $1.1 million in proceeds from stock options exercised and $0.4 million in proceeds from stock purchases through our 2017 ESPP.</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Financing activities provided $50.3 million of cash during the six months ended June 30, 2019, which was primarily from proceeds of our “at-the-market” offering during the second quarter of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0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2019 as updated by “Part II, Item 1A, Risk Factors” of our Quarterly Report on Form 10-Q for the quarter ended March 31, 2020. We have based our estimates on assumptions that may prove to be wrong and we could utilize our available capital resources sooner than we currently expect. Our future funding requirements will depend on many factors, including:</w:t>
      </w:r>
    </w:p>
    <w:p>
      <w:pPr>
        <w:spacing w:after="0" w:line="199" w:lineRule="exact"/>
        <w:rPr>
          <w:sz w:val="20"/>
          <w:szCs w:val="20"/>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179" w:hanging="655"/>
        <w:spacing w:after="0" w:line="250"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March 19, 2019, we filed a universal shelf registration statement on Form S-3, which was declared effective by the SEC on May 10, 2019, and pursuant to which we registered for sale up to $200 million of any combination of our common stock, preferred stock, debt securities, warrants, rights, and/or units from time to time and at prices and on terms that we may determine. After the sales of shares of common stock in our “at-the-market” offering during June 2019, and the sale of 2,732,673 shares of common stock in our underwritten public offering in August 2019, approximately $81.3 million of securities remained available for issuance under this shelf registration statement. This registration statement will remain in effect up to May 10, 2022.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June 30, 2020, there have been no material changes to our contractual obligations and commitments from those described under “Management’s Discussion and Analysis of Financial Condition and Results of Operations” included in our Annual Report on Form 10-K for the year ended December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5" w:lineRule="exact"/>
        <w:rPr>
          <w:sz w:val="20"/>
          <w:szCs w:val="20"/>
          <w:color w:val="auto"/>
        </w:rPr>
      </w:pPr>
    </w:p>
    <w:p>
      <w:pPr>
        <w:ind w:left="60" w:right="99" w:firstLine="648"/>
        <w:spacing w:after="0" w:line="31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53"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2019. There have been no material changes to our critical accounting policies and estimates as disclosed therein, with the exception of our adoption of recent accounting pronouncements, as discussed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We adopted ASC 842 and its related amendments. See Notes 2 and 10 to our unaudited financial statements included elsewhere in this Quarterly Report on Form 10-Q for more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At June 30, 2020, there have been no material changes to the market risk information described under “Quantitative and Qualitative Disclosures About Market Risk” included in the Annual Report on Form 10-K for the year ended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right="99" w:firstLine="638"/>
        <w:spacing w:after="0" w:line="290" w:lineRule="auto"/>
        <w:tabs>
          <w:tab w:leader="none" w:pos="95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13a-15(e) and 15d-15(e) of the Securities Exchange Act of 1934, as amended, or the Exchange Act) as of the end of the period covered by this Quarterly Report on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5" w:lineRule="exact"/>
        <w:rPr>
          <w:rFonts w:ascii="Arial" w:cs="Arial" w:eastAsia="Arial" w:hAnsi="Arial"/>
          <w:sz w:val="16"/>
          <w:szCs w:val="16"/>
          <w:color w:val="auto"/>
        </w:rPr>
      </w:pPr>
    </w:p>
    <w:p>
      <w:pPr>
        <w:ind w:left="60" w:right="139" w:firstLine="638"/>
        <w:spacing w:after="0" w:line="259" w:lineRule="auto"/>
        <w:tabs>
          <w:tab w:leader="none" w:pos="96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2019, filed with the SEC on March 13, 2020, as updated by “Part II, Item 1A, Risk Factors” of our Quarterly Report on Form 10-Q for the quarter ended March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SEC File/</w:t>
            </w:r>
          </w:p>
        </w:tc>
      </w:tr>
      <w:tr>
        <w:trPr>
          <w:trHeight w:val="189"/>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Reg.</w:t>
            </w:r>
          </w:p>
        </w:tc>
      </w:tr>
      <w:tr>
        <w:trPr>
          <w:trHeight w:val="195"/>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3060" w:type="dxa"/>
            <w:vAlign w:val="bottom"/>
            <w:gridSpan w:val="8"/>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Herewith</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 or Schedule</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Filing Date</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w:t>
            </w:r>
          </w:p>
        </w:tc>
      </w:tr>
      <w:tr>
        <w:trPr>
          <w:trHeight w:val="188"/>
        </w:trPr>
        <w:tc>
          <w:tcPr>
            <w:tcW w:w="6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920" w:type="dxa"/>
            <w:vAlign w:val="bottom"/>
          </w:tcPr>
          <w:p>
            <w:pPr>
              <w:spacing w:after="0"/>
              <w:rPr>
                <w:sz w:val="16"/>
                <w:szCs w:val="16"/>
                <w:color w:val="auto"/>
              </w:rPr>
            </w:pPr>
          </w:p>
        </w:tc>
        <w:tc>
          <w:tcPr>
            <w:tcW w:w="2840" w:type="dxa"/>
            <w:vAlign w:val="bottom"/>
            <w:tcBorders>
              <w:top w:val="single" w:sz="8" w:color="auto"/>
              <w:bottom w:val="single" w:sz="8" w:color="0000EE"/>
            </w:tcBorders>
            <w:gridSpan w:val="6"/>
          </w:tcPr>
          <w:p>
            <w:pPr>
              <w:spacing w:after="0" w:line="189"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Certification of the Principal Executive</w:t>
              </w:r>
            </w:hyperlink>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Officer pursuant to Section 302 of the</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Sarbanes-Oxley Act of 2002.</w:t>
              </w:r>
            </w:hyperlink>
          </w:p>
        </w:tc>
        <w:tc>
          <w:tcPr>
            <w:tcW w:w="340" w:type="dxa"/>
            <w:vAlign w:val="bottom"/>
            <w:gridSpan w:val="4"/>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6"/>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the Principal Financial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80" w:type="dxa"/>
            <w:vAlign w:val="bottom"/>
            <w:tcBorders>
              <w:top w:val="single" w:sz="8" w:color="0000EE"/>
            </w:tcBorders>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Officer pursuant to Section 302 of the</w:t>
              </w:r>
            </w:hyperlink>
          </w:p>
        </w:tc>
        <w:tc>
          <w:tcPr>
            <w:tcW w:w="28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Sarbanes-Oxley Act of 2002.</w:t>
              </w:r>
            </w:hyperlink>
          </w:p>
        </w:tc>
        <w:tc>
          <w:tcPr>
            <w:tcW w:w="340" w:type="dxa"/>
            <w:vAlign w:val="bottom"/>
            <w:gridSpan w:val="4"/>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5"/>
        </w:trPr>
        <w:tc>
          <w:tcPr>
            <w:tcW w:w="680" w:type="dxa"/>
            <w:vAlign w:val="bottom"/>
          </w:tcPr>
          <w:p>
            <w:pPr>
              <w:ind w:left="20"/>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Certifications of the Principal</w:t>
              </w:r>
            </w:hyperlink>
          </w:p>
        </w:tc>
        <w:tc>
          <w:tcPr>
            <w:tcW w:w="920" w:type="dxa"/>
            <w:vAlign w:val="bottom"/>
            <w:gridSpan w:val="6"/>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Executive Officer and Principal</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Borders>
              <w:top w:val="single" w:sz="8" w:color="0000EE"/>
            </w:tcBorders>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Officer pursuant to</w:t>
              </w:r>
            </w:hyperlink>
          </w:p>
        </w:tc>
        <w:tc>
          <w:tcPr>
            <w:tcW w:w="78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60" w:type="dxa"/>
            <w:vAlign w:val="bottom"/>
            <w:gridSpan w:val="8"/>
          </w:tcPr>
          <w:p>
            <w:pPr>
              <w:spacing w:after="0"/>
              <w:rPr>
                <w:rFonts w:ascii="Arial" w:cs="Arial" w:eastAsia="Arial" w:hAnsi="Arial"/>
                <w:sz w:val="18"/>
                <w:szCs w:val="18"/>
                <w:u w:val="single" w:color="auto"/>
                <w:color w:val="0000EE"/>
                <w:w w:val="97"/>
              </w:rPr>
            </w:pPr>
            <w:hyperlink w:anchor="page45">
              <w:r>
                <w:rPr>
                  <w:rFonts w:ascii="Arial" w:cs="Arial" w:eastAsia="Arial" w:hAnsi="Arial"/>
                  <w:sz w:val="18"/>
                  <w:szCs w:val="18"/>
                  <w:u w:val="single" w:color="auto"/>
                  <w:color w:val="0000EE"/>
                  <w:w w:val="97"/>
                </w:rPr>
                <w:t>Section 906 of the Sarbanes-Oxley Act</w:t>
              </w:r>
            </w:hyperlink>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of 2002.</w:t>
              </w:r>
            </w:hyperlink>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ind w:left="20"/>
              <w:spacing w:after="0"/>
              <w:rPr>
                <w:sz w:val="20"/>
                <w:szCs w:val="20"/>
                <w:color w:val="auto"/>
              </w:rPr>
            </w:pPr>
            <w:r>
              <w:rPr>
                <w:rFonts w:ascii="Arial" w:cs="Arial" w:eastAsia="Arial" w:hAnsi="Arial"/>
                <w:sz w:val="18"/>
                <w:szCs w:val="18"/>
                <w:color w:val="auto"/>
              </w:rPr>
              <w:t>101</w:t>
            </w:r>
          </w:p>
        </w:tc>
        <w:tc>
          <w:tcPr>
            <w:tcW w:w="920" w:type="dxa"/>
            <w:vAlign w:val="bottom"/>
          </w:tcPr>
          <w:p>
            <w:pPr>
              <w:ind w:left="200"/>
              <w:spacing w:after="0"/>
              <w:rPr>
                <w:sz w:val="20"/>
                <w:szCs w:val="20"/>
                <w:color w:val="auto"/>
              </w:rPr>
            </w:pPr>
            <w:r>
              <w:rPr>
                <w:rFonts w:ascii="Arial" w:cs="Arial" w:eastAsia="Arial" w:hAnsi="Arial"/>
                <w:sz w:val="18"/>
                <w:szCs w:val="18"/>
                <w:color w:val="auto"/>
              </w:rPr>
              <w:t>.INS</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Instance Document - the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w w:val="99"/>
              </w:rPr>
              <w:t>instance document does not appear in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the Interactive Data File because its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XBRL tags are embedded within the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Inline XBRL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.SCH</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.CAL</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.DEF</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Definition.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.LAB</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Taxonomy Extension Label</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PRE</w:t>
            </w:r>
          </w:p>
        </w:tc>
        <w:tc>
          <w:tcPr>
            <w:tcW w:w="3060" w:type="dxa"/>
            <w:vAlign w:val="bottom"/>
            <w:gridSpan w:val="8"/>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Presentation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Cover Page Interactive Data File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(formatted as Inline XBRL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8"/>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61"/>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gridSpan w:val="8"/>
          </w:tcPr>
          <w:p>
            <w:pPr>
              <w:ind w:left="278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640" w:type="dxa"/>
            <w:vAlign w:val="bottom"/>
            <w:gridSpan w:val="2"/>
          </w:tcPr>
          <w:p>
            <w:pPr>
              <w:ind w:left="164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260" w:type="dxa"/>
            <w:vAlign w:val="bottom"/>
          </w:tcPr>
          <w:p>
            <w:pPr>
              <w:spacing w:after="0"/>
              <w:rPr>
                <w:sz w:val="20"/>
                <w:szCs w:val="20"/>
                <w:color w:val="auto"/>
              </w:rPr>
            </w:pPr>
            <w:r>
              <w:rPr>
                <w:rFonts w:ascii="Arial" w:cs="Arial" w:eastAsia="Arial" w:hAnsi="Arial"/>
                <w:sz w:val="18"/>
                <w:szCs w:val="18"/>
                <w:color w:val="auto"/>
              </w:rPr>
              <w:t>Dated: August 4, 2020</w:t>
            </w:r>
          </w:p>
        </w:tc>
        <w:tc>
          <w:tcPr>
            <w:tcW w:w="5640" w:type="dxa"/>
            <w:vAlign w:val="bottom"/>
            <w:gridSpan w:val="2"/>
          </w:tcPr>
          <w:p>
            <w:pPr>
              <w:ind w:left="1640"/>
              <w:spacing w:after="0"/>
              <w:rPr>
                <w:sz w:val="20"/>
                <w:szCs w:val="20"/>
                <w:color w:val="auto"/>
              </w:rPr>
            </w:pPr>
            <w:r>
              <w:rPr>
                <w:rFonts w:ascii="Arial" w:cs="Arial" w:eastAsia="Arial" w:hAnsi="Arial"/>
                <w:sz w:val="18"/>
                <w:szCs w:val="18"/>
                <w:color w:val="auto"/>
              </w:rPr>
              <w:t>By:  /s/ E. Kevin Hrusovsky</w:t>
            </w:r>
          </w:p>
        </w:tc>
      </w:tr>
      <w:tr>
        <w:trPr>
          <w:trHeight w:val="195"/>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Chairman, President and Chief Executive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 August 4, 2020</w:t>
            </w:r>
          </w:p>
        </w:tc>
        <w:tc>
          <w:tcPr>
            <w:tcW w:w="5640" w:type="dxa"/>
            <w:vAlign w:val="bottom"/>
            <w:gridSpan w:val="2"/>
          </w:tcPr>
          <w:p>
            <w:pPr>
              <w:ind w:left="1640"/>
              <w:spacing w:after="0"/>
              <w:rPr>
                <w:sz w:val="20"/>
                <w:szCs w:val="20"/>
                <w:color w:val="auto"/>
              </w:rPr>
            </w:pPr>
            <w:r>
              <w:rPr>
                <w:rFonts w:ascii="Arial" w:cs="Arial" w:eastAsia="Arial" w:hAnsi="Arial"/>
                <w:sz w:val="18"/>
                <w:szCs w:val="18"/>
                <w:color w:val="auto"/>
              </w:rPr>
              <w:t>By:  /s/ Amol Chaubal</w:t>
            </w:r>
          </w:p>
        </w:tc>
      </w:tr>
      <w:tr>
        <w:trPr>
          <w:trHeight w:val="195"/>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Amol Chaubal</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June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2020-08-05T05:21:00Z</dcterms:created>
  <dcterms:modified xsi:type="dcterms:W3CDTF">2020-08-05T05:21:00Z</dcterms:modified>
</cp:coreProperties>
</file>