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3" w:right="239" w:bottom="248" w:gutter="0" w:footer="0" w:header="0"/>
        </w:sectPr>
      </w:pPr>
    </w:p>
    <w:p>
      <w:pPr>
        <w:spacing w:after="0" w:line="172"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460"/>
        <w:spacing w:after="0"/>
        <w:rPr>
          <w:sz w:val="20"/>
          <w:szCs w:val="20"/>
          <w:color w:val="auto"/>
        </w:rPr>
      </w:pP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22" w:lineRule="exact"/>
        <w:rPr>
          <w:sz w:val="24"/>
          <w:szCs w:val="24"/>
          <w:color w:val="auto"/>
        </w:rPr>
      </w:pPr>
    </w:p>
    <w:p>
      <w:pPr>
        <w:sectPr>
          <w:pgSz w:w="11900" w:h="16838" w:orient="portrait"/>
          <w:cols w:equalWidth="0" w:num="3">
            <w:col w:w="6060" w:space="720"/>
            <w:col w:w="600" w:space="720"/>
            <w:col w:w="3320"/>
          </w:cols>
          <w:pgMar w:left="240" w:top="233" w:right="239" w:bottom="248"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238125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233" w:right="239" w:bottom="248"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QUANTERIX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520" w:type="dxa"/>
            <w:vAlign w:val="bottom"/>
          </w:tcPr>
          <w:p>
            <w:pPr>
              <w:jc w:val="center"/>
              <w:ind w:right="1130"/>
              <w:spacing w:after="0"/>
              <w:rPr>
                <w:sz w:val="20"/>
                <w:szCs w:val="20"/>
                <w:color w:val="auto"/>
              </w:rPr>
            </w:pPr>
            <w:r>
              <w:rPr>
                <w:rFonts w:ascii="Arial" w:cs="Arial" w:eastAsia="Arial" w:hAnsi="Arial"/>
                <w:sz w:val="18"/>
                <w:szCs w:val="18"/>
                <w:b w:val="1"/>
                <w:bCs w:val="1"/>
                <w:color w:val="auto"/>
                <w:w w:val="93"/>
              </w:rPr>
              <w:t>Delaware</w:t>
            </w:r>
          </w:p>
        </w:tc>
        <w:tc>
          <w:tcPr>
            <w:tcW w:w="3680" w:type="dxa"/>
            <w:vAlign w:val="bottom"/>
          </w:tcPr>
          <w:p>
            <w:pPr>
              <w:jc w:val="right"/>
              <w:ind w:right="710"/>
              <w:spacing w:after="0"/>
              <w:rPr>
                <w:sz w:val="20"/>
                <w:szCs w:val="20"/>
                <w:color w:val="auto"/>
              </w:rPr>
            </w:pPr>
            <w:r>
              <w:rPr>
                <w:rFonts w:ascii="Arial" w:cs="Arial" w:eastAsia="Arial" w:hAnsi="Arial"/>
                <w:sz w:val="18"/>
                <w:szCs w:val="18"/>
                <w:b w:val="1"/>
                <w:bCs w:val="1"/>
                <w:color w:val="auto"/>
              </w:rPr>
              <w:t>20-8957988</w:t>
            </w:r>
          </w:p>
        </w:tc>
      </w:tr>
      <w:tr>
        <w:trPr>
          <w:trHeight w:val="230"/>
        </w:trPr>
        <w:tc>
          <w:tcPr>
            <w:tcW w:w="5520" w:type="dxa"/>
            <w:vAlign w:val="bottom"/>
          </w:tcPr>
          <w:p>
            <w:pPr>
              <w:jc w:val="center"/>
              <w:ind w:right="1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80" w:type="dxa"/>
            <w:vAlign w:val="bottom"/>
          </w:tcPr>
          <w:p>
            <w:pPr>
              <w:jc w:val="center"/>
              <w:ind w:left="111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520" w:type="dxa"/>
            <w:vAlign w:val="bottom"/>
          </w:tcPr>
          <w:p>
            <w:pPr>
              <w:jc w:val="center"/>
              <w:ind w:right="1130"/>
              <w:spacing w:after="0"/>
              <w:rPr>
                <w:sz w:val="20"/>
                <w:szCs w:val="20"/>
                <w:color w:val="auto"/>
              </w:rPr>
            </w:pPr>
            <w:r>
              <w:rPr>
                <w:rFonts w:ascii="Arial" w:cs="Arial" w:eastAsia="Arial" w:hAnsi="Arial"/>
                <w:sz w:val="18"/>
                <w:szCs w:val="18"/>
                <w:b w:val="1"/>
                <w:bCs w:val="1"/>
                <w:color w:val="auto"/>
                <w:w w:val="90"/>
              </w:rPr>
              <w:t>113 Hartwell Avenue</w:t>
            </w:r>
          </w:p>
        </w:tc>
        <w:tc>
          <w:tcPr>
            <w:tcW w:w="3680" w:type="dxa"/>
            <w:vAlign w:val="bottom"/>
          </w:tcPr>
          <w:p>
            <w:pPr>
              <w:spacing w:after="0"/>
              <w:rPr>
                <w:sz w:val="24"/>
                <w:szCs w:val="24"/>
                <w:color w:val="auto"/>
              </w:rPr>
            </w:pPr>
          </w:p>
        </w:tc>
      </w:tr>
      <w:tr>
        <w:trPr>
          <w:trHeight w:val="220"/>
        </w:trPr>
        <w:tc>
          <w:tcPr>
            <w:tcW w:w="5520" w:type="dxa"/>
            <w:vAlign w:val="bottom"/>
          </w:tcPr>
          <w:p>
            <w:pPr>
              <w:jc w:val="center"/>
              <w:ind w:right="1130"/>
              <w:spacing w:after="0"/>
              <w:rPr>
                <w:sz w:val="20"/>
                <w:szCs w:val="20"/>
                <w:color w:val="auto"/>
              </w:rPr>
            </w:pPr>
            <w:r>
              <w:rPr>
                <w:rFonts w:ascii="Arial" w:cs="Arial" w:eastAsia="Arial" w:hAnsi="Arial"/>
                <w:sz w:val="18"/>
                <w:szCs w:val="18"/>
                <w:b w:val="1"/>
                <w:bCs w:val="1"/>
                <w:color w:val="auto"/>
                <w:w w:val="95"/>
              </w:rPr>
              <w:t>Lexington, MA</w:t>
            </w:r>
          </w:p>
        </w:tc>
        <w:tc>
          <w:tcPr>
            <w:tcW w:w="3680" w:type="dxa"/>
            <w:vAlign w:val="bottom"/>
          </w:tcPr>
          <w:p>
            <w:pPr>
              <w:jc w:val="right"/>
              <w:ind w:right="930"/>
              <w:spacing w:after="0"/>
              <w:rPr>
                <w:sz w:val="20"/>
                <w:szCs w:val="20"/>
                <w:color w:val="auto"/>
              </w:rPr>
            </w:pPr>
            <w:r>
              <w:rPr>
                <w:rFonts w:ascii="Arial" w:cs="Arial" w:eastAsia="Arial" w:hAnsi="Arial"/>
                <w:sz w:val="18"/>
                <w:szCs w:val="18"/>
                <w:b w:val="1"/>
                <w:bCs w:val="1"/>
                <w:color w:val="auto"/>
              </w:rPr>
              <w:t>02421</w:t>
            </w:r>
          </w:p>
        </w:tc>
      </w:tr>
      <w:tr>
        <w:trPr>
          <w:trHeight w:val="230"/>
        </w:trPr>
        <w:tc>
          <w:tcPr>
            <w:tcW w:w="5520" w:type="dxa"/>
            <w:vAlign w:val="bottom"/>
          </w:tcPr>
          <w:p>
            <w:pPr>
              <w:jc w:val="center"/>
              <w:ind w:right="113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left="111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301-9400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240" w:firstLine="519"/>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20" w:firstLine="51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180" w:firstLine="51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60" w:type="dxa"/>
            <w:vAlign w:val="bottom"/>
          </w:tcPr>
          <w:p>
            <w:pPr>
              <w:ind w:left="360"/>
              <w:spacing w:after="0"/>
              <w:rPr>
                <w:sz w:val="20"/>
                <w:szCs w:val="20"/>
                <w:color w:val="auto"/>
              </w:rPr>
            </w:pPr>
            <w:r>
              <w:rPr>
                <w:rFonts w:ascii="Arial" w:cs="Arial" w:eastAsia="Arial" w:hAnsi="Arial"/>
                <w:sz w:val="18"/>
                <w:szCs w:val="18"/>
                <w:color w:val="auto"/>
              </w:rPr>
              <w:t>o</w:t>
            </w:r>
          </w:p>
        </w:tc>
        <w:tc>
          <w:tcPr>
            <w:tcW w:w="3740" w:type="dxa"/>
            <w:vAlign w:val="bottom"/>
          </w:tcPr>
          <w:p>
            <w:pPr>
              <w:ind w:left="94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840"/>
              <w:spacing w:after="0"/>
              <w:rPr>
                <w:sz w:val="20"/>
                <w:szCs w:val="20"/>
                <w:color w:val="auto"/>
              </w:rPr>
            </w:pPr>
            <w:r>
              <w:rPr>
                <w:rFonts w:ascii="Arial" w:cs="Arial" w:eastAsia="Arial" w:hAnsi="Arial"/>
                <w:sz w:val="15"/>
                <w:szCs w:val="15"/>
                <w:color w:val="auto"/>
                <w:w w:val="71"/>
              </w:rPr>
              <w:t>o</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4760" w:type="dxa"/>
            <w:vAlign w:val="bottom"/>
          </w:tcPr>
          <w:p>
            <w:pPr>
              <w:ind w:left="360"/>
              <w:spacing w:after="0"/>
              <w:rPr>
                <w:sz w:val="20"/>
                <w:szCs w:val="20"/>
                <w:color w:val="auto"/>
              </w:rPr>
            </w:pPr>
            <w:r>
              <w:rPr>
                <w:rFonts w:ascii="Arial" w:cs="Arial" w:eastAsia="Arial" w:hAnsi="Arial"/>
                <w:sz w:val="18"/>
                <w:szCs w:val="18"/>
                <w:color w:val="auto"/>
              </w:rPr>
              <w:t>x (Do not check if a smaller reporting company)</w:t>
            </w:r>
          </w:p>
        </w:tc>
        <w:tc>
          <w:tcPr>
            <w:tcW w:w="3740" w:type="dxa"/>
            <w:vAlign w:val="bottom"/>
          </w:tcPr>
          <w:p>
            <w:pPr>
              <w:ind w:left="94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840"/>
              <w:spacing w:after="0"/>
              <w:rPr>
                <w:sz w:val="20"/>
                <w:szCs w:val="20"/>
                <w:color w:val="auto"/>
              </w:rPr>
            </w:pPr>
            <w:r>
              <w:rPr>
                <w:rFonts w:ascii="Arial" w:cs="Arial" w:eastAsia="Arial" w:hAnsi="Arial"/>
                <w:sz w:val="15"/>
                <w:szCs w:val="15"/>
                <w:color w:val="auto"/>
                <w:w w:val="71"/>
              </w:rPr>
              <w:t>o</w:t>
            </w:r>
          </w:p>
        </w:tc>
      </w:tr>
      <w:tr>
        <w:trPr>
          <w:trHeight w:val="230"/>
        </w:trPr>
        <w:tc>
          <w:tcPr>
            <w:tcW w:w="20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740" w:type="dxa"/>
            <w:vAlign w:val="bottom"/>
          </w:tcPr>
          <w:p>
            <w:pPr>
              <w:ind w:left="94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840"/>
              <w:spacing w:after="0"/>
              <w:rPr>
                <w:sz w:val="20"/>
                <w:szCs w:val="20"/>
                <w:color w:val="auto"/>
              </w:rPr>
            </w:pPr>
            <w:r>
              <w:rPr>
                <w:rFonts w:ascii="Arial" w:cs="Arial" w:eastAsia="Arial" w:hAnsi="Arial"/>
                <w:sz w:val="17"/>
                <w:szCs w:val="17"/>
                <w:color w:val="auto"/>
                <w:w w:val="70"/>
              </w:rPr>
              <w:t>x</w:t>
            </w: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August 1, 2018, the registrant had 22,099,647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3" w:right="239" w:bottom="248" w:gutter="0" w:footer="0" w:header="0"/>
          <w:type w:val="continuous"/>
        </w:sectPr>
      </w:pPr>
    </w:p>
    <w:bookmarkStart w:id="1" w:name="page2"/>
    <w:bookmarkEnd w:id="1"/>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385"/>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0" w:type="dxa"/>
            <w:vAlign w:val="bottom"/>
            <w:gridSpan w:val="12"/>
          </w:tcPr>
          <w:p>
            <w:pPr>
              <w:jc w:val="center"/>
              <w:ind w:right="376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90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416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Cautionary Note Regarding Forward-Looking Statements</w:t>
              </w:r>
            </w:hyperlink>
          </w:p>
        </w:tc>
        <w:tc>
          <w:tcPr>
            <w:tcW w:w="636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1052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at June 30, 2018 and December 31, 2017</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Unaudited Condensed Consolidated Statements of Operations and Comprehensive Loss for the Three and Six Months Ended June 30,</w:t>
              </w:r>
            </w:hyperlink>
          </w:p>
        </w:tc>
        <w:tc>
          <w:tcPr>
            <w:tcW w:w="90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2018 and 2017</w:t>
              </w:r>
            </w:hyperlink>
          </w:p>
        </w:tc>
        <w:tc>
          <w:tcPr>
            <w:tcW w:w="8380" w:type="dxa"/>
            <w:vAlign w:val="bottom"/>
            <w:tcBorders>
              <w:top w:val="single" w:sz="8" w:color="0000EE"/>
            </w:tcBorders>
            <w:gridSpan w:val="17"/>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8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Stockholders’ Equity for the Six Months Ended June 30, 2018</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Cash Flows for the Six Months Ended June 30, 2018 and 2017</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80" w:type="dxa"/>
            <w:vAlign w:val="bottom"/>
          </w:tcPr>
          <w:p>
            <w:pPr>
              <w:spacing w:after="0"/>
              <w:rPr>
                <w:sz w:val="17"/>
                <w:szCs w:val="17"/>
                <w:color w:val="auto"/>
              </w:rPr>
            </w:pPr>
          </w:p>
        </w:tc>
        <w:tc>
          <w:tcPr>
            <w:tcW w:w="81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Notes to Unaudited Condensed Consolidated Financial Statements</w:t>
              </w:r>
            </w:hyperlink>
          </w:p>
        </w:tc>
        <w:tc>
          <w:tcPr>
            <w:tcW w:w="198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3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0520" w:type="dxa"/>
            <w:vAlign w:val="bottom"/>
            <w:gridSpan w:val="2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49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Item 3. Quantitative and Qualitative Disclosures About Market Risk</w:t>
              </w:r>
            </w:hyperlink>
          </w:p>
        </w:tc>
        <w:tc>
          <w:tcPr>
            <w:tcW w:w="2140" w:type="dxa"/>
            <w:vAlign w:val="bottom"/>
            <w:tcBorders>
              <w:top w:val="single" w:sz="8" w:color="0000EE"/>
            </w:tcBorders>
            <w:gridSpan w:val="4"/>
          </w:tcPr>
          <w:p>
            <w:pPr>
              <w:spacing w:after="0"/>
              <w:rPr>
                <w:sz w:val="24"/>
                <w:szCs w:val="24"/>
                <w:color w:val="auto"/>
              </w:rPr>
            </w:pPr>
          </w:p>
        </w:tc>
        <w:tc>
          <w:tcPr>
            <w:tcW w:w="344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10520" w:type="dxa"/>
            <w:vAlign w:val="bottom"/>
            <w:gridSpan w:val="2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4. Controls and Procedures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 OTHER INFORMATION</w:t>
              </w:r>
            </w:hyperlink>
          </w:p>
        </w:tc>
        <w:tc>
          <w:tcPr>
            <w:tcW w:w="390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r>
      <w:tr>
        <w:trPr>
          <w:trHeight w:val="412"/>
        </w:trPr>
        <w:tc>
          <w:tcPr>
            <w:tcW w:w="19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Item 1. Legal Proceedings</w:t>
              </w:r>
            </w:hyperlink>
          </w:p>
        </w:tc>
        <w:tc>
          <w:tcPr>
            <w:tcW w:w="8620" w:type="dxa"/>
            <w:vAlign w:val="bottom"/>
            <w:gridSpan w:val="1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16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Item 1A. Risk Factors</w:t>
              </w:r>
            </w:hyperlink>
          </w:p>
        </w:tc>
        <w:tc>
          <w:tcPr>
            <w:tcW w:w="8920" w:type="dxa"/>
            <w:vAlign w:val="bottom"/>
            <w:gridSpan w:val="1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49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Item 2. Unregistered Sales of Equity Securities and Use of Proceeds</w:t>
              </w:r>
            </w:hyperlink>
          </w:p>
        </w:tc>
        <w:tc>
          <w:tcPr>
            <w:tcW w:w="560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10520" w:type="dxa"/>
            <w:vAlign w:val="bottom"/>
            <w:gridSpan w:val="2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3. Defaults Upon Senior Securities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23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24"/>
                <w:szCs w:val="24"/>
                <w:color w:val="auto"/>
              </w:rPr>
            </w:pPr>
          </w:p>
        </w:tc>
        <w:tc>
          <w:tcPr>
            <w:tcW w:w="764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188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Item 5. Other Information</w:t>
              </w:r>
            </w:hyperlink>
          </w:p>
        </w:tc>
        <w:tc>
          <w:tcPr>
            <w:tcW w:w="864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10520" w:type="dxa"/>
            <w:vAlign w:val="bottom"/>
            <w:gridSpan w:val="2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6. 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1160" w:type="dxa"/>
            <w:vAlign w:val="bottom"/>
            <w:tcBorders>
              <w:top w:val="single" w:sz="8" w:color="0000EE"/>
            </w:tcBorders>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9360" w:type="dxa"/>
            <w:vAlign w:val="bottom"/>
            <w:gridSpan w:val="2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53"/>
        </w:trPr>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0" w:type="dxa"/>
            <w:vAlign w:val="bottom"/>
            <w:gridSpan w:val="12"/>
          </w:tcPr>
          <w:p>
            <w:pPr>
              <w:ind w:left="120"/>
              <w:spacing w:after="0"/>
              <w:rPr>
                <w:sz w:val="20"/>
                <w:szCs w:val="20"/>
                <w:color w:val="auto"/>
              </w:rPr>
            </w:pPr>
            <w:r>
              <w:rPr>
                <w:rFonts w:ascii="Arial" w:cs="Arial" w:eastAsia="Arial" w:hAnsi="Arial"/>
                <w:sz w:val="18"/>
                <w:szCs w:val="18"/>
                <w:b w:val="1"/>
                <w:bCs w:val="1"/>
                <w:color w:val="auto"/>
              </w:rPr>
              <w:t>Special Note Regarding Forward-Looking Statements</w:t>
            </w:r>
          </w:p>
        </w:tc>
        <w:tc>
          <w:tcPr>
            <w:tcW w:w="900" w:type="dxa"/>
            <w:vAlign w:val="bottom"/>
          </w:tcPr>
          <w:p>
            <w:pPr>
              <w:spacing w:after="0"/>
              <w:rPr>
                <w:sz w:val="24"/>
                <w:szCs w:val="24"/>
                <w:color w:val="auto"/>
              </w:rPr>
            </w:pPr>
          </w:p>
        </w:tc>
      </w:tr>
    </w:tbl>
    <w:p>
      <w:pPr>
        <w:spacing w:after="0" w:line="20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This Quarterly Report on Form 10-Q contains forward-looking statements that involve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 our financial performance, and are subject to a number of risks, uncertainties and assumptions, including those described in this Quarterly Report on Form 10-Q and in “Part I, Item 1A, Risk Factors” of our Annual Report on Form 10-K for the year ended December 31, 2017 or other filings that we make with the Securities and Exchange Commission, or SEC.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18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events or circumstances reflected in the forward-looking statements will be achieved or occur. You</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should read this Quarterly Report on Form 10-Q, and the documents that we reference herein and have filed with the SEC, with the understanding that our actual future results, levels of activity, performance, and events and circumstances may be materially different from what we expect.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spacing w:after="0" w:line="17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Unless the context otherwise requires, the terms “Quanterix,” the “Company,” “we,” “us” and “our” in this Quarterly Report on Form 10-Q refer to Quanterix Corporation and its subsidiaries. “Quanterix,” “Simoa,” “Simoa HD-1,” “SR-X,” “HD-1 Analyzer” and our logo are our trademarks. All other service marks, trademarks and trade names appearing in this Quarterly Report on Form 10-Q are the property of their respective owners. We do not intend our</w:t>
      </w:r>
    </w:p>
    <w:p>
      <w:pPr>
        <w:sectPr>
          <w:pgSz w:w="11900" w:h="16838" w:orient="portrait"/>
          <w:cols w:equalWidth="0" w:num="1">
            <w:col w:w="11420"/>
          </w:cols>
          <w:pgMar w:left="240" w:top="517" w:right="239" w:bottom="0" w:gutter="0" w:footer="0" w:header="0"/>
        </w:sectPr>
      </w:pPr>
    </w:p>
    <w:bookmarkStart w:id="2" w:name="page3"/>
    <w:bookmarkEnd w:id="2"/>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use or display of other companies’ trade names, trademarks or service marks to imply a relationship with, or endorsement or sponsorship of us by, these other companies.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80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96"/>
        </w:trPr>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79,682</w:t>
            </w:r>
          </w:p>
        </w:tc>
        <w:tc>
          <w:tcPr>
            <w:tcW w:w="80" w:type="dxa"/>
            <w:vAlign w:val="bottom"/>
            <w:shd w:val="clear" w:color="auto" w:fill="CCEEFF"/>
          </w:tcPr>
          <w:p>
            <w:pPr>
              <w:spacing w:after="0"/>
              <w:rPr>
                <w:sz w:val="18"/>
                <w:szCs w:val="18"/>
                <w:color w:val="auto"/>
              </w:rPr>
            </w:pPr>
          </w:p>
        </w:tc>
      </w:tr>
      <w:tr>
        <w:trPr>
          <w:trHeight w:val="202"/>
        </w:trPr>
        <w:tc>
          <w:tcPr>
            <w:tcW w:w="8080" w:type="dxa"/>
            <w:vAlign w:val="bottom"/>
          </w:tcPr>
          <w:p>
            <w:pPr>
              <w:ind w:left="200"/>
              <w:spacing w:after="0" w:line="201" w:lineRule="exact"/>
              <w:rPr>
                <w:sz w:val="20"/>
                <w:szCs w:val="20"/>
                <w:color w:val="auto"/>
              </w:rPr>
            </w:pPr>
            <w:r>
              <w:rPr>
                <w:rFonts w:ascii="Arial" w:cs="Arial" w:eastAsia="Arial" w:hAnsi="Arial"/>
                <w:sz w:val="18"/>
                <w:szCs w:val="18"/>
                <w:color w:val="auto"/>
                <w:w w:val="94"/>
              </w:rPr>
              <w:t>Accounts receivable (including $19 and $123 from related parties as of June 30, 2018 and December 31,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080" w:type="dxa"/>
            <w:vAlign w:val="bottom"/>
          </w:tcPr>
          <w:p>
            <w:pPr>
              <w:ind w:left="380"/>
              <w:spacing w:after="0"/>
              <w:rPr>
                <w:sz w:val="20"/>
                <w:szCs w:val="20"/>
                <w:color w:val="auto"/>
              </w:rPr>
            </w:pPr>
            <w:r>
              <w:rPr>
                <w:rFonts w:ascii="Arial" w:cs="Arial" w:eastAsia="Arial" w:hAnsi="Arial"/>
                <w:sz w:val="18"/>
                <w:szCs w:val="18"/>
                <w:color w:val="auto"/>
              </w:rPr>
              <w:t>2017, respectively)</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3,586</w:t>
            </w:r>
          </w:p>
        </w:tc>
        <w:tc>
          <w:tcPr>
            <w:tcW w:w="1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5,599</w:t>
            </w:r>
          </w:p>
        </w:tc>
        <w:tc>
          <w:tcPr>
            <w:tcW w:w="80" w:type="dxa"/>
            <w:vAlign w:val="bottom"/>
          </w:tcPr>
          <w:p>
            <w:pPr>
              <w:spacing w:after="0"/>
              <w:rPr>
                <w:sz w:val="20"/>
                <w:szCs w:val="20"/>
                <w:color w:val="auto"/>
              </w:rPr>
            </w:pPr>
          </w:p>
        </w:tc>
      </w:tr>
      <w:tr>
        <w:trPr>
          <w:trHeight w:val="216"/>
        </w:trPr>
        <w:tc>
          <w:tcPr>
            <w:tcW w:w="8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3,571</w:t>
            </w:r>
          </w:p>
        </w:tc>
        <w:tc>
          <w:tcPr>
            <w:tcW w:w="80" w:type="dxa"/>
            <w:vAlign w:val="bottom"/>
            <w:shd w:val="clear" w:color="auto" w:fill="CCEEFF"/>
          </w:tcPr>
          <w:p>
            <w:pPr>
              <w:spacing w:after="0"/>
              <w:rPr>
                <w:sz w:val="18"/>
                <w:szCs w:val="18"/>
                <w:color w:val="auto"/>
              </w:rPr>
            </w:pPr>
          </w:p>
        </w:tc>
      </w:tr>
      <w:tr>
        <w:trPr>
          <w:trHeight w:val="216"/>
        </w:trPr>
        <w:tc>
          <w:tcPr>
            <w:tcW w:w="80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1,152</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r>
      <w:tr>
        <w:trPr>
          <w:trHeight w:val="210"/>
        </w:trPr>
        <w:tc>
          <w:tcPr>
            <w:tcW w:w="808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70,698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2,406</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1,874</w:t>
            </w:r>
          </w:p>
        </w:tc>
        <w:tc>
          <w:tcPr>
            <w:tcW w:w="8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2,676</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1,308</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CEEFF"/>
          </w:tcPr>
          <w:p>
            <w:pPr>
              <w:spacing w:after="0"/>
              <w:rPr>
                <w:sz w:val="18"/>
                <w:szCs w:val="18"/>
                <w:color w:val="auto"/>
              </w:rPr>
            </w:pPr>
          </w:p>
        </w:tc>
      </w:tr>
      <w:tr>
        <w:trPr>
          <w:trHeight w:val="210"/>
        </w:trPr>
        <w:tc>
          <w:tcPr>
            <w:tcW w:w="80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77,772</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91,779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6"/>
        </w:trPr>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3,552</w:t>
            </w:r>
          </w:p>
        </w:tc>
        <w:tc>
          <w:tcPr>
            <w:tcW w:w="80" w:type="dxa"/>
            <w:vAlign w:val="bottom"/>
            <w:shd w:val="clear" w:color="auto" w:fill="CCEEFF"/>
          </w:tcPr>
          <w:p>
            <w:pPr>
              <w:spacing w:after="0"/>
              <w:rPr>
                <w:sz w:val="18"/>
                <w:szCs w:val="18"/>
                <w:color w:val="auto"/>
              </w:rPr>
            </w:pPr>
          </w:p>
        </w:tc>
      </w:tr>
      <w:tr>
        <w:trPr>
          <w:trHeight w:val="216"/>
        </w:trPr>
        <w:tc>
          <w:tcPr>
            <w:tcW w:w="80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2,312</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2,624</w:t>
            </w:r>
          </w:p>
        </w:tc>
        <w:tc>
          <w:tcPr>
            <w:tcW w:w="80" w:type="dxa"/>
            <w:vAlign w:val="bottom"/>
          </w:tcPr>
          <w:p>
            <w:pPr>
              <w:spacing w:after="0"/>
              <w:rPr>
                <w:sz w:val="18"/>
                <w:szCs w:val="18"/>
                <w:color w:val="auto"/>
              </w:rPr>
            </w:pPr>
          </w:p>
        </w:tc>
      </w:tr>
      <w:tr>
        <w:trPr>
          <w:trHeight w:val="202"/>
        </w:trPr>
        <w:tc>
          <w:tcPr>
            <w:tcW w:w="8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Other accrued expenses (including $179 and $170 to related parties as of June 30, 2018 and December 31,</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2017, respectively)</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4,181</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3,560</w:t>
            </w:r>
          </w:p>
        </w:tc>
        <w:tc>
          <w:tcPr>
            <w:tcW w:w="80" w:type="dxa"/>
            <w:vAlign w:val="bottom"/>
            <w:shd w:val="clear" w:color="auto" w:fill="CCEEFF"/>
          </w:tcPr>
          <w:p>
            <w:pPr>
              <w:spacing w:after="0"/>
              <w:rPr>
                <w:sz w:val="20"/>
                <w:szCs w:val="20"/>
                <w:color w:val="auto"/>
              </w:rPr>
            </w:pPr>
          </w:p>
        </w:tc>
      </w:tr>
      <w:tr>
        <w:trPr>
          <w:trHeight w:val="202"/>
        </w:trPr>
        <w:tc>
          <w:tcPr>
            <w:tcW w:w="8080" w:type="dxa"/>
            <w:vAlign w:val="bottom"/>
          </w:tcPr>
          <w:p>
            <w:pPr>
              <w:ind w:left="200"/>
              <w:spacing w:after="0" w:line="201" w:lineRule="exact"/>
              <w:rPr>
                <w:sz w:val="20"/>
                <w:szCs w:val="20"/>
                <w:color w:val="auto"/>
              </w:rPr>
            </w:pPr>
            <w:r>
              <w:rPr>
                <w:rFonts w:ascii="Arial" w:cs="Arial" w:eastAsia="Arial" w:hAnsi="Arial"/>
                <w:sz w:val="18"/>
                <w:szCs w:val="18"/>
                <w:color w:val="auto"/>
                <w:w w:val="92"/>
              </w:rPr>
              <w:t>Deferred revenue (including $1,142 and $1,182 with related parties as of June 30, 2018 and December 31,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080" w:type="dxa"/>
            <w:vAlign w:val="bottom"/>
          </w:tcPr>
          <w:p>
            <w:pPr>
              <w:ind w:left="380"/>
              <w:spacing w:after="0"/>
              <w:rPr>
                <w:sz w:val="20"/>
                <w:szCs w:val="20"/>
                <w:color w:val="auto"/>
              </w:rPr>
            </w:pPr>
            <w:r>
              <w:rPr>
                <w:rFonts w:ascii="Arial" w:cs="Arial" w:eastAsia="Arial" w:hAnsi="Arial"/>
                <w:sz w:val="18"/>
                <w:szCs w:val="18"/>
                <w:color w:val="auto"/>
              </w:rPr>
              <w:t>2017, respectively)</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6,141</w:t>
            </w:r>
          </w:p>
        </w:tc>
        <w:tc>
          <w:tcPr>
            <w:tcW w:w="1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4,942</w:t>
            </w:r>
          </w:p>
        </w:tc>
        <w:tc>
          <w:tcPr>
            <w:tcW w:w="80" w:type="dxa"/>
            <w:vAlign w:val="bottom"/>
          </w:tcPr>
          <w:p>
            <w:pPr>
              <w:spacing w:after="0"/>
              <w:rPr>
                <w:sz w:val="20"/>
                <w:szCs w:val="20"/>
                <w:color w:val="auto"/>
              </w:rPr>
            </w:pPr>
          </w:p>
        </w:tc>
      </w:tr>
      <w:tr>
        <w:trPr>
          <w:trHeight w:val="216"/>
        </w:trPr>
        <w:tc>
          <w:tcPr>
            <w:tcW w:w="8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 term debt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7,605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5,036</w:t>
            </w:r>
          </w:p>
        </w:tc>
        <w:tc>
          <w:tcPr>
            <w:tcW w:w="80" w:type="dxa"/>
            <w:vAlign w:val="bottom"/>
            <w:shd w:val="clear" w:color="auto" w:fill="CCEEFF"/>
          </w:tcPr>
          <w:p>
            <w:pPr>
              <w:spacing w:after="0"/>
              <w:rPr>
                <w:sz w:val="18"/>
                <w:szCs w:val="18"/>
                <w:color w:val="auto"/>
              </w:rPr>
            </w:pPr>
          </w:p>
        </w:tc>
      </w:tr>
      <w:tr>
        <w:trPr>
          <w:trHeight w:val="210"/>
        </w:trPr>
        <w:tc>
          <w:tcPr>
            <w:tcW w:w="808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23,356</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Deferred revenue, net of current portion (including $537 and $1,074 with related parties as of June 30, 2018</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December 31, 2017, respectively)</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1,135</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1,709</w:t>
            </w:r>
          </w:p>
        </w:tc>
        <w:tc>
          <w:tcPr>
            <w:tcW w:w="80" w:type="dxa"/>
            <w:vAlign w:val="bottom"/>
            <w:shd w:val="clear" w:color="auto" w:fill="CCEEFF"/>
          </w:tcPr>
          <w:p>
            <w:pPr>
              <w:spacing w:after="0"/>
              <w:rPr>
                <w:sz w:val="20"/>
                <w:szCs w:val="20"/>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Long term debt, net of current portion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4,346</w:t>
            </w:r>
          </w:p>
        </w:tc>
        <w:tc>
          <w:tcPr>
            <w:tcW w:w="8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r>
      <w:tr>
        <w:trPr>
          <w:trHeight w:val="210"/>
        </w:trPr>
        <w:tc>
          <w:tcPr>
            <w:tcW w:w="80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24,597</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w:t>
            </w:r>
            <w:r>
              <w:rPr>
                <w:rFonts w:ascii="Arial" w:cs="Arial" w:eastAsia="Arial" w:hAnsi="Arial"/>
                <w:sz w:val="18"/>
                <w:szCs w:val="18"/>
                <w:i w:val="1"/>
                <w:iCs w:val="1"/>
                <w:color w:val="auto"/>
              </w:rPr>
              <w:t>Note 11</w:t>
            </w: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$0.001 par value: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080" w:type="dxa"/>
            <w:vAlign w:val="bottom"/>
          </w:tcPr>
          <w:p>
            <w:pPr>
              <w:ind w:left="380"/>
              <w:spacing w:after="0" w:line="201" w:lineRule="exact"/>
              <w:rPr>
                <w:sz w:val="20"/>
                <w:szCs w:val="20"/>
                <w:color w:val="auto"/>
              </w:rPr>
            </w:pPr>
            <w:r>
              <w:rPr>
                <w:rFonts w:ascii="Arial" w:cs="Arial" w:eastAsia="Arial" w:hAnsi="Arial"/>
                <w:sz w:val="18"/>
                <w:szCs w:val="18"/>
                <w:color w:val="auto"/>
                <w:w w:val="99"/>
              </w:rPr>
              <w:t>Authorized—5,000,000 shares as of June 30, 2018 and December 31, 2017; no shares issued or</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080" w:type="dxa"/>
            <w:vAlign w:val="bottom"/>
          </w:tcPr>
          <w:p>
            <w:pPr>
              <w:ind w:left="560"/>
              <w:spacing w:after="0"/>
              <w:rPr>
                <w:sz w:val="20"/>
                <w:szCs w:val="20"/>
                <w:color w:val="auto"/>
              </w:rPr>
            </w:pPr>
            <w:r>
              <w:rPr>
                <w:rFonts w:ascii="Arial" w:cs="Arial" w:eastAsia="Arial" w:hAnsi="Arial"/>
                <w:sz w:val="18"/>
                <w:szCs w:val="18"/>
                <w:color w:val="auto"/>
              </w:rPr>
              <w:t>outstanding as of June 30, 2018 and December 31, 2017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$0.001 par value: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080" w:type="dxa"/>
            <w:vAlign w:val="bottom"/>
          </w:tcPr>
          <w:p>
            <w:pPr>
              <w:ind w:left="380"/>
              <w:spacing w:after="0" w:line="201" w:lineRule="exact"/>
              <w:rPr>
                <w:sz w:val="20"/>
                <w:szCs w:val="20"/>
                <w:color w:val="auto"/>
              </w:rPr>
            </w:pPr>
            <w:r>
              <w:rPr>
                <w:rFonts w:ascii="Arial" w:cs="Arial" w:eastAsia="Arial" w:hAnsi="Arial"/>
                <w:sz w:val="18"/>
                <w:szCs w:val="18"/>
                <w:color w:val="auto"/>
                <w:w w:val="91"/>
              </w:rPr>
              <w:t>Authorized—120,000,000 shares as of June 30, 2018 and December 31, 2017; issued and outstanding—</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080" w:type="dxa"/>
            <w:vAlign w:val="bottom"/>
          </w:tcPr>
          <w:p>
            <w:pPr>
              <w:ind w:left="560"/>
              <w:spacing w:after="0"/>
              <w:rPr>
                <w:sz w:val="20"/>
                <w:szCs w:val="20"/>
                <w:color w:val="auto"/>
              </w:rPr>
            </w:pPr>
            <w:r>
              <w:rPr>
                <w:rFonts w:ascii="Arial" w:cs="Arial" w:eastAsia="Arial" w:hAnsi="Arial"/>
                <w:sz w:val="18"/>
                <w:szCs w:val="18"/>
                <w:color w:val="auto"/>
              </w:rPr>
              <w:t>21,980,681 and 21,707,041 shares as of June 30, 2018 and December 31, 2017, respectively</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r>
      <w:tr>
        <w:trPr>
          <w:trHeight w:val="216"/>
        </w:trPr>
        <w:tc>
          <w:tcPr>
            <w:tcW w:w="8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212,050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210,196</w:t>
            </w:r>
          </w:p>
        </w:tc>
        <w:tc>
          <w:tcPr>
            <w:tcW w:w="80" w:type="dxa"/>
            <w:vAlign w:val="bottom"/>
            <w:shd w:val="clear" w:color="auto" w:fill="CCEEFF"/>
          </w:tcPr>
          <w:p>
            <w:pPr>
              <w:spacing w:after="0"/>
              <w:rPr>
                <w:sz w:val="18"/>
                <w:szCs w:val="18"/>
                <w:color w:val="auto"/>
              </w:rPr>
            </w:pPr>
          </w:p>
        </w:tc>
      </w:tr>
      <w:tr>
        <w:trPr>
          <w:trHeight w:val="216"/>
        </w:trPr>
        <w:tc>
          <w:tcPr>
            <w:tcW w:w="80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(158,897)</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(144,352)</w:t>
            </w:r>
          </w:p>
        </w:tc>
      </w:tr>
      <w:tr>
        <w:trPr>
          <w:trHeight w:val="210"/>
        </w:trPr>
        <w:tc>
          <w:tcPr>
            <w:tcW w:w="8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53,175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0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77,772</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660" w:type="dxa"/>
            <w:vAlign w:val="bottom"/>
            <w:gridSpan w:val="5"/>
          </w:tcPr>
          <w:p>
            <w:pPr>
              <w:ind w:left="4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9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6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82"/>
        </w:trPr>
        <w:tc>
          <w:tcPr>
            <w:tcW w:w="5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Product revenue (including related party activity of $43 and $144 for the</w:t>
            </w:r>
          </w:p>
        </w:tc>
        <w:tc>
          <w:tcPr>
            <w:tcW w:w="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5,200</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3,337</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9,945</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6,762</w:t>
            </w:r>
          </w:p>
        </w:tc>
        <w:tc>
          <w:tcPr>
            <w:tcW w:w="100" w:type="dxa"/>
            <w:vAlign w:val="bottom"/>
            <w:shd w:val="clear" w:color="auto" w:fill="CCEEFF"/>
          </w:tcPr>
          <w:p>
            <w:pPr>
              <w:spacing w:after="0"/>
              <w:rPr>
                <w:sz w:val="15"/>
                <w:szCs w:val="15"/>
                <w:color w:val="auto"/>
              </w:rPr>
            </w:pPr>
          </w:p>
        </w:tc>
      </w:tr>
      <w:tr>
        <w:trPr>
          <w:trHeight w:val="230"/>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three months ended June 30, 2018 and 2017, respectively, and $136 and</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65"/>
        </w:trPr>
        <w:tc>
          <w:tcPr>
            <w:tcW w:w="5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420"/>
          </w:cols>
          <w:pgMar w:left="240" w:top="125" w:right="239" w:bottom="0" w:gutter="0" w:footer="0" w:header="0"/>
        </w:sectPr>
      </w:pPr>
    </w:p>
    <w:bookmarkStart w:id="3" w:name="page4"/>
    <w:bookmarkEnd w:id="3"/>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$227 for the six months ended June 30, 2018 and 2017, respectively)</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740" w:type="dxa"/>
            <w:vAlign w:val="bottom"/>
          </w:tcPr>
          <w:p>
            <w:pPr>
              <w:spacing w:after="0" w:line="201" w:lineRule="exact"/>
              <w:rPr>
                <w:sz w:val="20"/>
                <w:szCs w:val="20"/>
                <w:color w:val="auto"/>
              </w:rPr>
            </w:pPr>
            <w:r>
              <w:rPr>
                <w:rFonts w:ascii="Arial" w:cs="Arial" w:eastAsia="Arial" w:hAnsi="Arial"/>
                <w:sz w:val="18"/>
                <w:szCs w:val="18"/>
                <w:color w:val="auto"/>
                <w:w w:val="93"/>
              </w:rPr>
              <w:t>Service and other revenue (including related party activity of $58 and $50 for</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w w:val="91"/>
              </w:rPr>
              <w:t>the three months ended June 30, 2018 and 2017, respectively, and $97 and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$91 for the six months ended June 30, 2018 and 2017, respectively)</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3,174</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5,682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3,252</w:t>
            </w:r>
          </w:p>
        </w:tc>
      </w:tr>
      <w:tr>
        <w:trPr>
          <w:trHeight w:val="202"/>
        </w:trPr>
        <w:tc>
          <w:tcPr>
            <w:tcW w:w="5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Collaboration and license revenue (including related party activity of $269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and $268 for the three months ended June 30, 2018 and 2017, respectively,</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and $537 and $537 for the six months ended June 30, 2018 and 2017,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8,643</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10,551</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740" w:type="dxa"/>
            <w:vAlign w:val="bottom"/>
          </w:tcPr>
          <w:p>
            <w:pPr>
              <w:ind w:left="200"/>
              <w:spacing w:after="0" w:line="201" w:lineRule="exact"/>
              <w:rPr>
                <w:sz w:val="20"/>
                <w:szCs w:val="20"/>
                <w:color w:val="auto"/>
              </w:rPr>
            </w:pPr>
            <w:r>
              <w:rPr>
                <w:rFonts w:ascii="Arial" w:cs="Arial" w:eastAsia="Arial" w:hAnsi="Arial"/>
                <w:sz w:val="18"/>
                <w:szCs w:val="18"/>
                <w:color w:val="auto"/>
                <w:w w:val="97"/>
              </w:rPr>
              <w:t>Cost of product revenue (including related party activity of $47 and $96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40" w:type="dxa"/>
            <w:vAlign w:val="bottom"/>
          </w:tcPr>
          <w:p>
            <w:pPr>
              <w:ind w:left="380"/>
              <w:spacing w:after="0"/>
              <w:rPr>
                <w:sz w:val="20"/>
                <w:szCs w:val="20"/>
                <w:color w:val="auto"/>
              </w:rPr>
            </w:pPr>
            <w:r>
              <w:rPr>
                <w:rFonts w:ascii="Arial" w:cs="Arial" w:eastAsia="Arial" w:hAnsi="Arial"/>
                <w:sz w:val="18"/>
                <w:szCs w:val="18"/>
                <w:color w:val="auto"/>
                <w:w w:val="95"/>
              </w:rPr>
              <w:t>for the three months ended June 30, 2018 and 2017, respectively, and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tcPr>
          <w:p>
            <w:pPr>
              <w:ind w:left="380"/>
              <w:spacing w:after="0"/>
              <w:rPr>
                <w:sz w:val="20"/>
                <w:szCs w:val="20"/>
                <w:color w:val="auto"/>
              </w:rPr>
            </w:pPr>
            <w:r>
              <w:rPr>
                <w:rFonts w:ascii="Arial" w:cs="Arial" w:eastAsia="Arial" w:hAnsi="Arial"/>
                <w:sz w:val="18"/>
                <w:szCs w:val="18"/>
                <w:color w:val="auto"/>
              </w:rPr>
              <w:t>$122 and $152 for the six months ended June 30, 2018 and 2017,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74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2,945</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5,718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3,668</w:t>
            </w:r>
          </w:p>
        </w:tc>
      </w:tr>
      <w:tr>
        <w:trPr>
          <w:trHeight w:val="216"/>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services and other revenue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2,342</w:t>
            </w: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3,705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7,349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8,153</w:t>
            </w:r>
          </w:p>
        </w:tc>
      </w:tr>
      <w:tr>
        <w:trPr>
          <w:trHeight w:val="216"/>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7,579</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8,913</w:t>
            </w:r>
          </w:p>
        </w:tc>
      </w:tr>
      <w:tr>
        <w:trPr>
          <w:trHeight w:val="210"/>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15,954</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23,076</w:t>
            </w:r>
          </w:p>
        </w:tc>
        <w:tc>
          <w:tcPr>
            <w:tcW w:w="100" w:type="dxa"/>
            <w:vAlign w:val="bottom"/>
            <w:tcBorders>
              <w:bottom w:val="single" w:sz="8" w:color="CCEEFF"/>
            </w:tcBorders>
          </w:tcPr>
          <w:p>
            <w:pPr>
              <w:spacing w:after="0"/>
              <w:rPr>
                <w:sz w:val="18"/>
                <w:szCs w:val="18"/>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(12,525)</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(496)</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0"/>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(7,343)</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(14,545)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(13,023)</w:t>
            </w:r>
          </w:p>
        </w:tc>
        <w:tc>
          <w:tcPr>
            <w:tcW w:w="100" w:type="dxa"/>
            <w:vAlign w:val="bottom"/>
            <w:tcBorders>
              <w:bottom w:val="single" w:sz="8" w:color="CCEEFF"/>
            </w:tcBorders>
          </w:tcPr>
          <w:p>
            <w:pPr>
              <w:spacing w:after="0"/>
              <w:rPr>
                <w:sz w:val="18"/>
                <w:szCs w:val="18"/>
                <w:color w:val="auto"/>
              </w:rPr>
            </w:pPr>
          </w:p>
        </w:tc>
      </w:tr>
      <w:tr>
        <w:trPr>
          <w:trHeight w:val="196"/>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7"/>
              </w:rPr>
              <w:t>Reconciliation of net loss to net loss attributable to common stockholders: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(7,343)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(14,545)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(13,023)</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Accretion of preferred stock to redemption value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(2,189)</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Accrued dividends on preferred stock</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7"/>
              </w:rPr>
              <w:t>Net loss per share attributable to common stockholders, basic and diluted</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tcPr>
          <w:p>
            <w:pPr>
              <w:spacing w:after="0"/>
              <w:rPr>
                <w:sz w:val="18"/>
                <w:szCs w:val="18"/>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21,890,978</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2,416,984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21,840,074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2,416,984</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Common</w:t>
            </w:r>
          </w:p>
        </w:tc>
        <w:tc>
          <w:tcPr>
            <w:tcW w:w="2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stock</w:t>
            </w: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stock</w:t>
            </w: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shares</w:t>
            </w:r>
          </w:p>
        </w:tc>
        <w:tc>
          <w:tcPr>
            <w:tcW w:w="2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value</w:t>
            </w:r>
          </w:p>
        </w:tc>
        <w:tc>
          <w:tcPr>
            <w:tcW w:w="16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21,707,041</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210,196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(144,352)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Exercise of common stock warrants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16,718</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Exercise of common stock options and vesting of</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256,922</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Arial" w:cs="Arial" w:eastAsia="Arial" w:hAnsi="Arial"/>
                <w:sz w:val="18"/>
                <w:szCs w:val="18"/>
                <w:color w:val="auto"/>
              </w:rPr>
              <w:t>Common stock issuance offering costs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(14,545)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(14,545)</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2018</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21,980,681</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212,050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(158,897)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June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78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Net loss</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(14,545)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(13,023)</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200"/>
              <w:spacing w:after="0"/>
              <w:rPr>
                <w:sz w:val="20"/>
                <w:szCs w:val="20"/>
                <w:color w:val="auto"/>
              </w:rPr>
            </w:pPr>
            <w:r>
              <w:rPr>
                <w:rFonts w:ascii="Arial" w:cs="Arial" w:eastAsia="Arial" w:hAnsi="Arial"/>
                <w:sz w:val="18"/>
                <w:szCs w:val="18"/>
                <w:color w:val="auto"/>
              </w:rPr>
              <w:t>Depreciation and amortization expense</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609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r>
      <w:tr>
        <w:trPr>
          <w:trHeight w:val="216"/>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w:t>
            </w:r>
          </w:p>
        </w:tc>
      </w:tr>
      <w:tr>
        <w:trPr>
          <w:trHeight w:val="216"/>
        </w:trPr>
        <w:tc>
          <w:tcPr>
            <w:tcW w:w="6780" w:type="dxa"/>
            <w:vAlign w:val="bottom"/>
          </w:tcPr>
          <w:p>
            <w:pPr>
              <w:ind w:left="200"/>
              <w:spacing w:after="0"/>
              <w:rPr>
                <w:sz w:val="20"/>
                <w:szCs w:val="20"/>
                <w:color w:val="auto"/>
              </w:rPr>
            </w:pPr>
            <w:r>
              <w:rPr>
                <w:rFonts w:ascii="Arial" w:cs="Arial" w:eastAsia="Arial" w:hAnsi="Arial"/>
                <w:sz w:val="18"/>
                <w:szCs w:val="18"/>
                <w:color w:val="auto"/>
              </w:rPr>
              <w:t>Non-cash interest expense</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r>
      <w:tr>
        <w:trPr>
          <w:trHeight w:val="216"/>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preferred stock warrants</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bl>
    <w:p>
      <w:pPr>
        <w:sectPr>
          <w:pgSz w:w="11900" w:h="16857" w:orient="portrait"/>
          <w:cols w:equalWidth="0" w:num="1">
            <w:col w:w="11420"/>
          </w:cols>
          <w:pgMar w:left="240" w:top="140"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r>
      <w:tr>
        <w:trPr>
          <w:trHeight w:val="216"/>
        </w:trPr>
        <w:tc>
          <w:tcPr>
            <w:tcW w:w="722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(681)</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r>
      <w:tr>
        <w:trPr>
          <w:trHeight w:val="216"/>
        </w:trPr>
        <w:tc>
          <w:tcPr>
            <w:tcW w:w="7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w:t>
            </w:r>
          </w:p>
        </w:tc>
      </w:tr>
      <w:tr>
        <w:trPr>
          <w:trHeight w:val="216"/>
        </w:trPr>
        <w:tc>
          <w:tcPr>
            <w:tcW w:w="722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(831)</w:t>
            </w:r>
          </w:p>
        </w:tc>
      </w:tr>
      <w:tr>
        <w:trPr>
          <w:trHeight w:val="216"/>
        </w:trPr>
        <w:tc>
          <w:tcPr>
            <w:tcW w:w="7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w:t>
            </w:r>
          </w:p>
        </w:tc>
      </w:tr>
      <w:tr>
        <w:trPr>
          <w:trHeight w:val="216"/>
        </w:trPr>
        <w:tc>
          <w:tcPr>
            <w:tcW w:w="7220" w:type="dxa"/>
            <w:vAlign w:val="bottom"/>
          </w:tcPr>
          <w:p>
            <w:pPr>
              <w:ind w:left="380"/>
              <w:spacing w:after="0"/>
              <w:rPr>
                <w:sz w:val="20"/>
                <w:szCs w:val="20"/>
                <w:color w:val="auto"/>
              </w:rPr>
            </w:pPr>
            <w:r>
              <w:rPr>
                <w:rFonts w:ascii="Arial" w:cs="Arial" w:eastAsia="Arial" w:hAnsi="Arial"/>
                <w:sz w:val="18"/>
                <w:szCs w:val="18"/>
                <w:color w:val="auto"/>
              </w:rPr>
              <w:t>Accrued compensation and benefits, other accrued expenses and other liabilities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(957)</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1,165</w:t>
            </w:r>
          </w:p>
        </w:tc>
      </w:tr>
      <w:tr>
        <w:trPr>
          <w:trHeight w:val="216"/>
        </w:trPr>
        <w:tc>
          <w:tcPr>
            <w:tcW w:w="7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2,048</w:t>
            </w:r>
          </w:p>
        </w:tc>
      </w:tr>
      <w:tr>
        <w:trPr>
          <w:trHeight w:val="210"/>
        </w:trPr>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(13,970)</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(10,219)</w:t>
            </w:r>
          </w:p>
        </w:tc>
        <w:tc>
          <w:tcPr>
            <w:tcW w:w="100" w:type="dxa"/>
            <w:vAlign w:val="bottom"/>
            <w:tcBorders>
              <w:bottom w:val="single" w:sz="8" w:color="CCEEFF"/>
            </w:tcBorders>
          </w:tcPr>
          <w:p>
            <w:pPr>
              <w:spacing w:after="0"/>
              <w:rPr>
                <w:sz w:val="18"/>
                <w:szCs w:val="18"/>
                <w:color w:val="auto"/>
              </w:rPr>
            </w:pPr>
          </w:p>
        </w:tc>
      </w:tr>
      <w:tr>
        <w:trPr>
          <w:trHeight w:val="196"/>
        </w:trPr>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Investing activities</w:t>
            </w: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(690)</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(663)</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Acquisitions, net of cash acquired</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tcPr>
          <w:p>
            <w:pPr>
              <w:spacing w:after="0"/>
              <w:rPr>
                <w:sz w:val="18"/>
                <w:szCs w:val="18"/>
                <w:color w:val="auto"/>
              </w:rPr>
            </w:pPr>
          </w:p>
        </w:tc>
      </w:tr>
      <w:tr>
        <w:trPr>
          <w:trHeight w:val="196"/>
        </w:trPr>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Proceeds from sale of preferred stock, net of issuance costs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8,423</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common stock, net of issuance costs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Proceeds from exercise of stock warrants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options exercised</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Proceeds from the issuance of notes payable and warrants, net of issuance costs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Payments on notes payable</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(1,875)</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(921)</w:t>
            </w:r>
          </w:p>
        </w:tc>
      </w:tr>
      <w:tr>
        <w:trPr>
          <w:trHeight w:val="210"/>
        </w:trPr>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provided by financing activities</w:t>
            </w:r>
          </w:p>
        </w:tc>
        <w:tc>
          <w:tcPr>
            <w:tcW w:w="10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7,504</w:t>
            </w:r>
          </w:p>
        </w:tc>
        <w:tc>
          <w:tcPr>
            <w:tcW w:w="100" w:type="dxa"/>
            <w:vAlign w:val="bottom"/>
            <w:tcBorders>
              <w:bottom w:val="single" w:sz="8" w:color="CCEEFF"/>
            </w:tcBorders>
          </w:tcPr>
          <w:p>
            <w:pPr>
              <w:spacing w:after="0"/>
              <w:rPr>
                <w:sz w:val="18"/>
                <w:szCs w:val="18"/>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(19,208)</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79,682</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29,671</w:t>
            </w: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60,474</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26,293</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22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15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5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347</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to lenders</w:t>
            </w:r>
          </w:p>
        </w:tc>
        <w:tc>
          <w:tcPr>
            <w:tcW w:w="15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15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Quanterix Corporation (the Company) is a life sciences company that has developed a next generation, ultra-sensitive digital immunoassay platform that advances precision health for life sciences research and diagnostics. The Company’s platform enables customers to reliably detect protein biomarkers in extremely low concentrations in blood, serum and other fluids that, in many cases, are undetectable using conventional, analog immunoassay technologies. It also allows researchers to define and validate the function of novel protein biomarkers that are only present in very low concentrations and have been discovered using technologies such as mass spectrometry. These capabilities provide the Company’s customers with insight into the role of protein biomarkers in human health that has not been possible with other existing technologies and enable researchers to unlock unique insights into the continuum between health and disease. The Company is currently focusing its platform on protein detection and is also developing its Simoa technology to detect nucleic acids in biological samples.</w:t>
      </w:r>
    </w:p>
    <w:p>
      <w:pPr>
        <w:spacing w:after="0" w:line="19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currently markets the Simoa HD-1 Analyzer, a fully automated immunoassay platform with multiplexing and custom assay capability, and related assay test kits and consumable materials. The Company launched a second immunoassay platform (Quanterix SR-X) in the fourth quarter of 2017 with a more compact footprint than the Simoa HD-1 Analyzer and less automation designed for lower volume requirements while still allowing multiplexing and custom assay capability. The Company also performs research services on behalf of customers to apply the Simoa technology to specific customer needs. The Company’s primary customers are in the research use only market which includes academic and governmental research institutions, the research and development laboratories of pharmaceutical manufacturers, contract research organizations, and specialty research laboratories.</w:t>
      </w:r>
    </w:p>
    <w:p>
      <w:pPr>
        <w:spacing w:after="0" w:line="16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Company acquired Aushon Biosystems, Inc. (Aushon) in January 2018 and will market and sell Aushon developed instruments and biomarker assays. In addition, the Company plans to utilize the Aushon CLIA-certified laboratory to enhance the research service offering to customers.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December 2017, the Company completed its initial public offering (IPO) in which the Company sold 4,916,480 shares of its common stock at the initial public offering price of $15.00 per share. The Company’s common stock began trading on The Nasdaq Global Market on December 7, 2017. The aggregate net proceeds received from the IPO, net of underwriting discounts and commissions and offering expenses, was $65.6 million. Immediately prior to the completion of the IPO, all then outstanding shares of convertible preferred stock were converted into 14,185,744 shares of common stock. The related carrying value of shares of preferred stock and warrants in the aggregate amount of $143.3 million was reclassified as common stock and additional paid-in capital. Additionally, the Company filed an amended and restated certificate of incorporation with the Secretary of State of the State of Delaware, effective December 11, 2017 to, among other things, change the authorized number of shares of common stock to 120,000,000 and the authorized number of shares of preferred stock to 5,000,000.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ectPr>
          <w:pgSz w:w="11900" w:h="16838" w:orient="portrait"/>
          <w:cols w:equalWidth="0" w:num="1">
            <w:col w:w="11420"/>
          </w:cols>
          <w:pgMar w:left="240" w:top="125" w:right="239" w:bottom="32" w:gutter="0" w:footer="0" w:header="0"/>
        </w:sectPr>
      </w:pPr>
    </w:p>
    <w:bookmarkStart w:id="5" w:name="page6"/>
    <w:bookmarkEnd w:id="5"/>
    <w:p>
      <w:pPr>
        <w:spacing w:after="0" w:line="2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interim condensed consolidated financial statements are unaudited. The unaudited condensed consolidated financial statements reflect, in the opinion of our management, all adjustments, consisting of only normal recurring adjustments, necessary for a fair presentation of financial position, results of operations, comprehensive loss and cash flows for each period presented in accordance with United States generally accepted accounting principles (GAAP) for interim financial information and with the instructions to Form 10-Q and Article 10 of Regulation S-X. Accordingly, certain information and disclosures normally included in financial statements prepared in accordance with GAAP have been condensed or omitted. These interim condensed consolidated financial statements should be read in conjunction with the audited consolidated financial statements and related notes thereto included in our Annual Report on Form 10-K for the year ended December 31, 2017 filed with the Securities and Exchange Commission on March 19, 2018 (the 2017 Annual Report on Form 10-K). The consolidated financial information as of December 31, 2017 has been derived from the audited 2017 consolidated financial statements included in our 2017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On December 4, 2017, the Company effected a reverse stock split of its common stock at a ratio of 1-for-3.214. The shares of common stock subject to then outstanding stock options were adjusted accordingly to reflect the reverse stock split. All common stock and related per share amounts presented in these financial statements and related notes have been retroactively adjusted to reflect the 1-for-3.214 reverse stock split.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generally accepted in the United States of America (U.S. GAAP) and include the accounts of Quanterix Corporation and its wholly-owned subsidiaries. All material intercompany transactions and balances have been eliminated in consolidation.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the consolidated financial statements and accompanying notes. In making those estimates and assumptions, the Company bases its estimates on historical experience and on various other assumptions believed to be reasonable. The Company’s significant estimates included in the preparation of the consolidated financial statements are related to revenue recognition, fair value of equity instruments, fair value of assets acquired and liabilities assumed in acquisitions, valuation allowances recorded against deferred tax assets, and stock-based compensation. Actual results could differ from those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Under the acquisition method of accounting, the Company allocates the fair value of the total consideration transferred to the tangible and identifiable intangible assets acquired and liabilities assumed based on their estimated fair values on the date of acquisition. The fair values assigned, defined as the price that would be received to sell an asset or paid to transfer a liability in an orderly transaction between willing market participants, are based on estimates and assumptions determined by management. The excess consideration over the aggregate fair value of tangible and intangible assets, net of liabilities assumed, is recorded as goodwill. These valuations require significant estimates and assumptions, especially with respect to intangible assets.</w:t>
      </w:r>
    </w:p>
    <w:p>
      <w:pPr>
        <w:spacing w:after="0" w:line="15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typically uses the discounted cash flow method to value acquired intangible assets. This method requires significant management judgment to forecast future operating results and establish residual growth rates and discount factors. The estimates used to value and amortize intangible assets are consistent with the plans and estimates that are used to manage the business and are based on available historical information and industry estimates and averages. If the subsequent actual results and updated projections of the underlying business activity change compared with the assumptions and projections used to develop these values, the Company could experience impairment charges. In addition, the Company has estimated the economic lives of certain acquired assets and these lives are used to calculate depreciation and amortization expense. If estimates of the economic lives change, depreciation or amortization expenses could be accelerated or slowed.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is considered to be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the Company will not be required to adopt new or revised accounting standards on the relevant dates on which adoption of such standards is required for other public companies so long as the Company remains an emerging growth company.</w:t>
      </w:r>
    </w:p>
    <w:p>
      <w:pPr>
        <w:spacing w:after="0" w:line="193"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The FASB has issued several updates to the standard which (i) clarify the application of the principal versus agent guidance; (ii) clarify the guidance relating to performance obligations and licensing; (iii) clarify assessment of the collectability criterion, presentation of sales taxes, measurement date for non-cash consideration and completed contracts at transaction; and (iv) clarify narrow aspects of ASC 606 or corrects unintended application of the guidance (collectively, the Revenue ASUs). The Revenue ASUs provide an accounting standard for a single comprehensive model for use in accounting for revenue arising from contracts with customers and supersedes most current revenue recognition guidance. Under Topic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w:t>
      </w:r>
    </w:p>
    <w:p>
      <w:pPr>
        <w:sectPr>
          <w:pgSz w:w="11900" w:h="16865" w:orient="portrait"/>
          <w:cols w:equalWidth="0" w:num="1">
            <w:col w:w="11420"/>
          </w:cols>
          <w:pgMar w:left="240" w:top="125" w:right="239" w:bottom="0" w:gutter="0" w:footer="0" w:header="0"/>
        </w:sectPr>
      </w:pPr>
    </w:p>
    <w:bookmarkStart w:id="6" w:name="page7"/>
    <w:bookmarkEnd w:id="6"/>
    <w:p>
      <w:pPr>
        <w:spacing w:after="0" w:line="11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transaction price to the performance obligations in the contract; and (v) recognize revenue when (or as) the entity satisfies a performance obligation. Topic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accounting standard is effective for the Company for the year ending December 31, 2019 and for interim periods within such year. Early adoption is permitted. The guidance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 The Company does not currently intend to early adopt the provisions of this accounting standard and currently intends to adopt the standard effective January 1, 2019. The Company is in the process of determining which adoption method will be utilized and assessing the effect of this accounting standard. The Company’s performance under the bioMérieux arrangement is not expected to be completed prior to the anticipated date of adoption on January 1, 2019, and the revenue recognition for this contract may be affected by Topic 606. The Company cannot predict at this time whether performance obligations under the arrangement with a diagnostic company will remain open at January 1, 2019.</w:t>
      </w:r>
    </w:p>
    <w:p>
      <w:pPr>
        <w:spacing w:after="0" w:line="17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In February 2016, the FASB issued ASU No. 2016-02, Leases (Topic 842): </w:t>
      </w:r>
      <w:r>
        <w:rPr>
          <w:rFonts w:ascii="Arial" w:cs="Arial" w:eastAsia="Arial" w:hAnsi="Arial"/>
          <w:sz w:val="17"/>
          <w:szCs w:val="17"/>
          <w:i w:val="1"/>
          <w:iCs w:val="1"/>
          <w:color w:val="auto"/>
        </w:rPr>
        <w:t>Recognition and Measurement of Financial Assets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w:t>
      </w:r>
      <w:r>
        <w:rPr>
          <w:rFonts w:ascii="Arial" w:cs="Arial" w:eastAsia="Arial" w:hAnsi="Arial"/>
          <w:sz w:val="17"/>
          <w:szCs w:val="17"/>
          <w:color w:val="auto"/>
        </w:rPr>
        <w:t>(ASU 2016-02). Under ASU 2016-02, lessees will be required to recognize a lease liability and a right-of-use asset for all leases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exception of short term leases) at the commencement date. Lessor accounting under ASU 2016-02 is largely unchanged. ASU 2016-02 is effective for the Company for the year ending December 31, 2020. Early adoption is permitted. Under ASU 2016-02,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Lessees and lessors may not apply a full retrospective transition approach. The Company is currently evaluating the requirements of ASU 2016-02 and has not yet determined whether adoption of the standard will have a material impact on its consolidated financial statements.</w:t>
      </w:r>
    </w:p>
    <w:p>
      <w:pPr>
        <w:spacing w:after="0" w:line="17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There have been no other material changes to the significant accounting policies and recent accounting pronouncements previously disclosed in the 2017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Company recognizes revenue when (1) persuasive evidence of an arrangement exists, (2) shipment and installation, if applicable, has occurred or services have been rendered, (3) the price to the customer is fixed or determinable and (4) collection of the related receivable is reasonably assured. The Company primarily generates revenue from the sale of products and delivery of services, as well as under license and collaboration agreements. The Company’s product revenue includes the sale of instruments as well as assay kits and consumables which are used to perform tests on the instrument. The Company’s service revenue is generated from services performed in the Company’s Simoa Accelerator Lab under contracts to perform research services on behalf of customers and maintenance and support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Revenue for instrument sales is recognized upon installation at the customer’s location or upon transfer of title to the customer when installation is not required, which is generally the case with sales to distributors. In sales to end-customers, the Company provides the installation service and often payment is tied to the completion of the installation service. When installation is required, the Company accounts for the instrument and installation service as one unit of accounting and recognizes revenue when installation is completed, assuming all other revenue recognition criteria are met. Instrument transactions often have multiple elements, as discussed below. Included with the purchase of an instrument is a one-year assurance type product warranty assuring that the instrument is free of material defects and will function according to specifications. In addition, the sale of an instrument includes an implied warranty which is promised to the customer during the pre-sales process, at the time that the sales quote is issued to the customer. The implied warranty is provided over the same one-year period as the standard warranty. The services included in the implied warranty are the same as those included in the extended service contracts, and include two bi-annual preventative maintenance service visits, minor hardware updates and software upgrades, additional training and troubleshooting which is beyond the scope of the standard product warranty. The implied warranty has been identified by the Company as a separate deliverable and unit of accounting. Consideration allocated to the implied one year service type warranty is recognized over the one year period of performance as service and other revenue as described below. Consideration allocated to any other elements is recognized as the goods are delivered or the services are performed.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and other revenue</w:t>
      </w:r>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Service revenue includes revenue from the implied one-year service type warranty obligation, revenue from extended service contracts, research services performed on behalf of a customer in the Company’s Simoa Accelerator Lab, and other services that may be performed. Revenue for the implied one-year service type warranty is initially deferred at the time of instrument revenue recognition and is recognized ratably over a 12-month period starting on</w:t>
      </w:r>
    </w:p>
    <w:p>
      <w:pPr>
        <w:sectPr>
          <w:pgSz w:w="11900" w:h="16952" w:orient="portrait"/>
          <w:cols w:equalWidth="0" w:num="1">
            <w:col w:w="11400"/>
          </w:cols>
          <w:pgMar w:left="240" w:top="125" w:right="259" w:bottom="0" w:gutter="0" w:footer="0" w:header="0"/>
        </w:sectPr>
      </w:pPr>
    </w:p>
    <w:bookmarkStart w:id="7" w:name="page8"/>
    <w:bookmarkEnd w:id="7"/>
    <w:p>
      <w:pPr>
        <w:ind w:right="120"/>
        <w:spacing w:after="0" w:line="302" w:lineRule="auto"/>
        <w:rPr>
          <w:sz w:val="20"/>
          <w:szCs w:val="20"/>
          <w:color w:val="auto"/>
        </w:rPr>
      </w:pPr>
      <w:r>
        <w:rPr>
          <w:rFonts w:ascii="Arial" w:cs="Arial" w:eastAsia="Arial" w:hAnsi="Arial"/>
          <w:sz w:val="16"/>
          <w:szCs w:val="16"/>
          <w:color w:val="auto"/>
        </w:rPr>
        <w:t>the date of instrument installation. Revenue for extended warranty contracts is recognized ratably over the service period. Revenue for research and development services and other services is generally recognized based on proportional performance of the contract, when the Company’s ability to complete project requirements is reasonably assured. Most of these services are completed in a short period of time from the receipt of the customer’s order. When significant risk exists in the Company’s ability to fulfill project requirements, revenue is recognized upon completion of the contract.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license revenue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Collaboration and license revenue relates to the Joint Development and License Agreement (JDLA) with bioMérieux SA (bioMérieux) as amended and restated in December 2016 by the Amended and Restated License Agreement (the 2016 Amendment) and the agreements with a diagnostics company. Refer to Note 11 of the 2017 Annual Report on Form 10-K for a description of these arrangements and the Company’s revenue recognition policies for these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Multiple element arrangements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Many of our instrument sales involve the delivery of multiple products and services. The elements of an instrument sale typically include the instrument installation (when required), an implied one year service type warranty, and in some cases the Company may also sell assays, consumables, or other services. Revenue recognition for contracts with multiple deliverables is based on the individual units of accounting determined to exist in the contract. A delivered item is considered a separate unit of accounting when the delivered item has value to the customer on a stand-alone basis. Items are considered to have stand-alone value when they are sold separately by any vendor or when the customer could resell the item on a stand-alone basis.</w:t>
      </w:r>
    </w:p>
    <w:p>
      <w:pPr>
        <w:spacing w:after="0" w:line="158"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The consideration received is allocated among the separate units of accounting using the relative selling price method, and the applicable revenue recognition criteria are applied to each of the separate units. The Company determines the estimated selling price for deliverables within the arrangement using vendor-specific objective evidence (VSOE) of selling price, if available. If VSOE is not available, the Company considers if third-party evidence is available. If third-party evidence of selling price or VSOE is not available, the Company uses its best estimate of selling price for the deliverable.</w:t>
      </w:r>
    </w:p>
    <w:p>
      <w:pPr>
        <w:spacing w:after="0" w:line="15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order to establish VSOE of selling price, the Company must regularly sell the product or service on a standalone basis with a substantial majority priced within a relatively narrow range. If there are not a sufficient number of standalone sales such that VSOE of selling price cannot be determined, then the Company considers whether third party evidence can be used to establish selling price. Due to the lack of similar products and services sold by other companies within the industry, the Company has not established selling price using third-party evidence.</w:t>
      </w:r>
    </w:p>
    <w:p>
      <w:pPr>
        <w:spacing w:after="0" w:line="171"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For product and service sales, the Company determines its best estimate of selling price for instruments, consumables, services and assays using average selling prices over a rolling 12-month period coupled with an assessment of market conditions, as VSOE and third-party evidence cannot be established. The Company recognizes revenue for delivered elements only when it determines there are no uncertainties regarding customer acceptance.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Distributor transactions</w:t>
      </w:r>
    </w:p>
    <w:p>
      <w:pPr>
        <w:spacing w:after="0" w:line="225"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In certain markets, the Company sells products and provides services to customers through distributors that specialize in life sciences products. In cases where the product is delivered to a distributor, revenue recognition generally occurs when title transfers to the distributor. The terms of sales transactions through distributors are generally consistent with the terms of direct sales to customers, except the distributors do not require the Company’s services to install the instrument at the end customer and perform the services for the customer that are beyond our standard warranty in the first year following the sale. These transactions are accounted for in accordance with the Company’s revenue recognition policy described herein.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decision-maker in deciding how to allocate resources and assess performance. The Company and the Company’s chief operating decision-maker reviews the Company’s operations and manages its business as a single operating segment.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 by product and service line are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86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380" w:type="dxa"/>
            <w:vAlign w:val="bottom"/>
            <w:gridSpan w:val="6"/>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1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Product revenue</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20" w:type="dxa"/>
            <w:vAlign w:val="bottom"/>
          </w:tcPr>
          <w:p>
            <w:pPr>
              <w:ind w:left="200"/>
              <w:spacing w:after="0"/>
              <w:rPr>
                <w:sz w:val="20"/>
                <w:szCs w:val="20"/>
                <w:color w:val="auto"/>
              </w:rPr>
            </w:pPr>
            <w:r>
              <w:rPr>
                <w:rFonts w:ascii="Arial" w:cs="Arial" w:eastAsia="Arial" w:hAnsi="Arial"/>
                <w:sz w:val="18"/>
                <w:szCs w:val="18"/>
                <w:color w:val="auto"/>
              </w:rPr>
              <w:t>Instrument and accessories</w:t>
            </w: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1,765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1,670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3,774</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Consumable and other product</w:t>
            </w:r>
          </w:p>
        </w:tc>
        <w:tc>
          <w:tcPr>
            <w:tcW w:w="7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3,435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6,171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shd w:val="clear" w:color="auto" w:fill="CCEEFF"/>
          </w:tcPr>
          <w:p>
            <w:pPr>
              <w:spacing w:after="0"/>
              <w:rPr>
                <w:sz w:val="18"/>
                <w:szCs w:val="18"/>
                <w:color w:val="auto"/>
              </w:rPr>
            </w:pPr>
          </w:p>
        </w:tc>
      </w:tr>
      <w:tr>
        <w:trPr>
          <w:trHeight w:val="210"/>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5,200</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3,337</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9,945</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6,762</w:t>
            </w:r>
          </w:p>
        </w:tc>
        <w:tc>
          <w:tcPr>
            <w:tcW w:w="100" w:type="dxa"/>
            <w:vAlign w:val="bottom"/>
            <w:tcBorders>
              <w:bottom w:val="single" w:sz="8" w:color="CCEEFF"/>
            </w:tcBorders>
          </w:tcPr>
          <w:p>
            <w:pPr>
              <w:spacing w:after="0"/>
              <w:rPr>
                <w:sz w:val="18"/>
                <w:szCs w:val="18"/>
                <w:color w:val="auto"/>
              </w:rPr>
            </w:pP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Service and other revenue</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20" w:type="dxa"/>
            <w:vAlign w:val="bottom"/>
          </w:tcPr>
          <w:p>
            <w:pPr>
              <w:ind w:left="200"/>
              <w:spacing w:after="0"/>
              <w:rPr>
                <w:sz w:val="20"/>
                <w:szCs w:val="20"/>
                <w:color w:val="auto"/>
              </w:rPr>
            </w:pPr>
            <w:r>
              <w:rPr>
                <w:rFonts w:ascii="Arial" w:cs="Arial" w:eastAsia="Arial" w:hAnsi="Arial"/>
                <w:sz w:val="18"/>
                <w:szCs w:val="18"/>
                <w:color w:val="auto"/>
              </w:rPr>
              <w:t>Accelerator and CLIA Lab services</w:t>
            </w: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2,092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982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3,699</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services</w:t>
            </w:r>
          </w:p>
        </w:tc>
        <w:tc>
          <w:tcPr>
            <w:tcW w:w="7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1,082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626</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8"/>
                <w:szCs w:val="18"/>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3,174</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following table reflects total revenue (in thousands) by geography and as a percentage of total revenue, based on the billing address of our customers. North America consists of the United States, Canada and Mexico; EMEA consists of Europe, Middle East, and Africa; and Asia Pacific includes Japan, China, South Korea, Singapore, Malaysia and Australia.</w:t>
      </w:r>
    </w:p>
    <w:p>
      <w:pPr>
        <w:sectPr>
          <w:pgSz w:w="11900" w:h="16838" w:orient="portrait"/>
          <w:cols w:equalWidth="0" w:num="1">
            <w:col w:w="11400"/>
          </w:cols>
          <w:pgMar w:left="240" w:top="125" w:right="25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w w:val="92"/>
              </w:rPr>
              <w:t>Three months ended June 30,</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w w:val="94"/>
              </w:rPr>
              <w:t>Six months ended June 30,</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r>
      <w:tr>
        <w:trPr>
          <w:trHeight w:val="210"/>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3,329</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6,443</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EMEA</w:t>
            </w:r>
          </w:p>
        </w:tc>
        <w:tc>
          <w:tcPr>
            <w:tcW w:w="3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2,766</w:t>
            </w: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1,558</w:t>
            </w:r>
          </w:p>
        </w:tc>
        <w:tc>
          <w:tcPr>
            <w:tcW w:w="3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3,226</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0"/>
        </w:trPr>
        <w:tc>
          <w:tcPr>
            <w:tcW w:w="202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8,643</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5,213</w:t>
            </w: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16,164</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10,551</w:t>
            </w: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20"/>
        </w:trPr>
        <w:tc>
          <w:tcPr>
            <w:tcW w:w="2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Basic net loss per common share attributable to common stockholders is calculated by dividing the net loss attributable to common stockholders by the weighted-average number of common shares outstanding during the period, without consideration for potentially dilutive securities. Diluted net loss per share is computed by dividing the net loss attributable to common stockholders by the weighted-average number of common shares and potentially dilutive securities outstanding for the period determined using the treasury-stock and if-converted methods. For purposes of the diluted net loss per share calculation, preferred stock, unvested restricted common stock and stock options are considered to be potentially dilutive securities, but are excluded from the calculation of diluted net loss per share because their effect would be anti-dilutive and therefore basic and diluted net loss per share were the same for all periods presented.</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 (continued)</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00" w:type="dxa"/>
            <w:vAlign w:val="bottom"/>
          </w:tcPr>
          <w:p>
            <w:pPr>
              <w:spacing w:after="0"/>
              <w:rPr>
                <w:sz w:val="14"/>
                <w:szCs w:val="14"/>
                <w:color w:val="auto"/>
              </w:rPr>
            </w:pPr>
          </w:p>
        </w:tc>
        <w:tc>
          <w:tcPr>
            <w:tcW w:w="198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0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14,176,025</w:t>
            </w: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Unvested restricted common stock and restricted stock units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150,843</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268,757</w:t>
            </w: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2,543,478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2,221,774</w:t>
            </w: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Outstanding warrants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76,041</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120,663</w:t>
            </w:r>
          </w:p>
        </w:tc>
        <w:tc>
          <w:tcPr>
            <w:tcW w:w="100" w:type="dxa"/>
            <w:vAlign w:val="bottom"/>
          </w:tcPr>
          <w:p>
            <w:pPr>
              <w:spacing w:after="0"/>
              <w:rPr>
                <w:sz w:val="18"/>
                <w:szCs w:val="18"/>
                <w:color w:val="auto"/>
              </w:rPr>
            </w:pPr>
          </w:p>
        </w:tc>
      </w:tr>
      <w:tr>
        <w:trPr>
          <w:trHeight w:val="210"/>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2,770,362</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16,787,219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June 30, 2018 and 2017, the Company had an obligation to issue warrants to purchase an additional 93,341 shares of common stock and</w:t>
      </w:r>
    </w:p>
    <w:p>
      <w:pPr>
        <w:spacing w:after="0" w:line="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300,000 shares of Series A-3 Preferred Stock, respectively, to a vendor if a contract is terminated prior to a minimum purchase commitment being met. Upon completion of the IPO in December 2017, the warrants to purchase shares of Preferred Stock were converted to warrants to purchase shares of common stock at a 1-for-3.214 basis. No amounts are presented in the table above for this obligation to issue a warrant as the issuance of the warrant is not considered probable.</w:t>
      </w:r>
    </w:p>
    <w:p>
      <w:pPr>
        <w:spacing w:after="0" w:line="19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Company’s redeemable convertible preferred stock was entitled to receive dividends based on dividends declared to common stockholders, thereby giving the preferred stockholders the right to participate in undistributed earnings of the Company above the stated dividend rate. However, preferred stockholders did not have a contractual obligation to share in the net losses of the Company. The Company operated in a net loss position for the three and six months ended June 30, 2017 and, therefore the Company’s accounting for basic and diluted earnings per share was unaffected by the participation rights of the preferred stockholders. The shares of preferred stock outstanding at June 30, 2017 were converted to shares of common stock at the time of the IPO on a 1-for-3.214 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inputs are inputs other than quoted prices that are observable for the asset or liability, either directly or indirectly; and</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Level 3 inputs are unobservable inputs that reflect the Company’s own assumptions about the assumptions market participants would use in pricing the asset or liability.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380"/>
          </w:cols>
          <w:pgMar w:left="240" w:top="333" w:right="279" w:bottom="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 (continued)</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carrying amount reflected on the balance sheets for cash and cash equivalents, accounts receivable, prepaid expenses and other current assets, accounts payable and accrued liabilities approximated their fair values, due to the short-term nature of these instruments. The carrying value of the long-term debt approximates its fair value as the debt arrangement is based on interest rates the Company believes it could obtain for borrowings with similar terms. The Company has an investment in the preferred stock of a privately held company which is recorded within other non-current assets on a cost basis. This cost method investment’s fair value has not been estimated as there are no identified events or changes in circumstances that would indicate a significant adverse effect on the fair value of the investment and to do so would be impractical.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measurements as of June 30, 2018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Quoted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prices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markets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4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equivalents</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580"/>
              <w:spacing w:after="0"/>
              <w:rPr>
                <w:sz w:val="20"/>
                <w:szCs w:val="20"/>
                <w:color w:val="auto"/>
              </w:rPr>
            </w:pPr>
            <w:r>
              <w:rPr>
                <w:rFonts w:ascii="Arial" w:cs="Arial" w:eastAsia="Arial" w:hAnsi="Arial"/>
                <w:sz w:val="18"/>
                <w:szCs w:val="18"/>
                <w:color w:val="auto"/>
              </w:rPr>
              <w:t>57,459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57,459</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3"/>
              </w:rPr>
              <w:t>57,459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57,459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measurements as of December 31, 2017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Quoted</w:t>
            </w:r>
          </w:p>
        </w:tc>
        <w:tc>
          <w:tcPr>
            <w:tcW w:w="140" w:type="dxa"/>
            <w:vAlign w:val="bottom"/>
          </w:tcPr>
          <w:p>
            <w:pPr>
              <w:spacing w:after="0"/>
              <w:rPr>
                <w:sz w:val="14"/>
                <w:szCs w:val="14"/>
                <w:color w:val="auto"/>
              </w:rPr>
            </w:pPr>
          </w:p>
        </w:tc>
        <w:tc>
          <w:tcPr>
            <w:tcW w:w="1100" w:type="dxa"/>
            <w:vAlign w:val="bottom"/>
            <w:gridSpan w:val="3"/>
          </w:tcPr>
          <w:p>
            <w:pPr>
              <w:jc w:val="center"/>
              <w:ind w:left="202"/>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4"/>
            <w:vMerge w:val="restart"/>
          </w:tcPr>
          <w:p>
            <w:pPr>
              <w:jc w:val="center"/>
              <w:ind w:left="122"/>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prices</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jc w:val="center"/>
              <w:ind w:right="76"/>
              <w:spacing w:after="0" w:line="149" w:lineRule="exact"/>
              <w:rPr>
                <w:sz w:val="20"/>
                <w:szCs w:val="20"/>
                <w:color w:val="auto"/>
              </w:rPr>
            </w:pPr>
            <w:r>
              <w:rPr>
                <w:rFonts w:ascii="Arial" w:cs="Arial" w:eastAsia="Arial" w:hAnsi="Arial"/>
                <w:sz w:val="14"/>
                <w:szCs w:val="14"/>
                <w:b w:val="1"/>
                <w:bCs w:val="1"/>
                <w:color w:val="auto"/>
                <w:w w:val="91"/>
              </w:rPr>
              <w:t>other</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1100" w:type="dxa"/>
            <w:vAlign w:val="bottom"/>
            <w:gridSpan w:val="3"/>
          </w:tcPr>
          <w:p>
            <w:pPr>
              <w:jc w:val="center"/>
              <w:ind w:left="202"/>
              <w:spacing w:after="0" w:line="149" w:lineRule="exact"/>
              <w:rPr>
                <w:sz w:val="20"/>
                <w:szCs w:val="20"/>
                <w:color w:val="auto"/>
              </w:rPr>
            </w:pPr>
            <w:r>
              <w:rPr>
                <w:rFonts w:ascii="Arial" w:cs="Arial" w:eastAsia="Arial" w:hAnsi="Arial"/>
                <w:sz w:val="14"/>
                <w:szCs w:val="14"/>
                <w:b w:val="1"/>
                <w:bCs w:val="1"/>
                <w:color w:val="auto"/>
                <w:w w:val="89"/>
              </w:rPr>
              <w:t>observable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center"/>
              <w:ind w:left="122"/>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12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markets</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inputs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jc w:val="center"/>
              <w:ind w:right="56"/>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580"/>
              <w:spacing w:after="0"/>
              <w:rPr>
                <w:sz w:val="20"/>
                <w:szCs w:val="20"/>
                <w:color w:val="auto"/>
              </w:rPr>
            </w:pPr>
            <w:r>
              <w:rPr>
                <w:rFonts w:ascii="Arial" w:cs="Arial" w:eastAsia="Arial" w:hAnsi="Arial"/>
                <w:sz w:val="18"/>
                <w:szCs w:val="18"/>
                <w:color w:val="auto"/>
              </w:rPr>
              <w:t>78,182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78,182</w:t>
            </w: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3"/>
              </w:rPr>
              <w:t>78,182</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78,182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22"/>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6. Inventory</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00" w:type="dxa"/>
            <w:vAlign w:val="bottom"/>
            <w:gridSpan w:val="2"/>
          </w:tcPr>
          <w:p>
            <w:pPr>
              <w:ind w:left="660"/>
              <w:spacing w:after="0"/>
              <w:rPr>
                <w:sz w:val="20"/>
                <w:szCs w:val="20"/>
                <w:color w:val="auto"/>
              </w:rPr>
            </w:pPr>
            <w:r>
              <w:rPr>
                <w:rFonts w:ascii="Arial" w:cs="Arial" w:eastAsia="Arial" w:hAnsi="Arial"/>
                <w:sz w:val="18"/>
                <w:szCs w:val="18"/>
                <w:color w:val="auto"/>
              </w:rPr>
              <w:t>Inventory consists of the following (in thousands):</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24"/>
                <w:szCs w:val="24"/>
                <w:color w:val="auto"/>
              </w:rPr>
            </w:pPr>
          </w:p>
        </w:tc>
        <w:tc>
          <w:tcPr>
            <w:tcW w:w="2100" w:type="dxa"/>
            <w:vAlign w:val="bottom"/>
            <w:gridSpan w:val="8"/>
          </w:tcPr>
          <w:p>
            <w:pPr>
              <w:jc w:val="center"/>
              <w:ind w:right="74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40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4"/>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8"/>
              </w:rPr>
              <w:t>2,326</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w w:val="88"/>
              </w:rPr>
              <w:t>1,634</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8"/>
              </w:rPr>
              <w:t>1,526</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1,571</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04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color w:val="auto"/>
                <w:w w:val="88"/>
              </w:rPr>
              <w:t>5,486</w:t>
            </w:r>
          </w:p>
        </w:tc>
        <w:tc>
          <w:tcPr>
            <w:tcW w:w="2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3,571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comprises commercial instruments, assays, and the materials required to manufacture assays.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During the third quarter of 2016, the Company purchased a minority interest in preferred stock in a privately held company for $0.3 million. The investment is recorded on a cost basis in other non-current assets on the accompanying balance sheets as the Company does not have a controlling interest, does not have the ability to exercise significant influence over the privately held company and the fair value of this equity investment is not readily determinable. The Company performs an impairments analysis at each reporting period to determine if the carrying value must be reduced due to a decrease in the value of the investment, which includes consideration of whether an event or change in circumstances has occurred that may have a significant adverse effect on the fair value of the investment. The Company has determined there was no impairment during the six months ended June 30, 2018 or in any prior period.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accrued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accrued expenses consist of the following (in thousands):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940" w:type="dxa"/>
            <w:vAlign w:val="bottom"/>
          </w:tcPr>
          <w:p>
            <w:pPr>
              <w:jc w:val="center"/>
              <w:ind w:left="342"/>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0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Accrued inventory</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Accrued royalties</w:t>
            </w: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Accrued development costs</w:t>
            </w: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1,350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1,559</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Accrued acquisition payment</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337" w:right="239" w:bottom="0" w:gutter="0" w:footer="0" w:header="0"/>
        </w:sectPr>
      </w:pPr>
    </w:p>
    <w:bookmarkStart w:id="10" w:name="page11"/>
    <w:bookmarkEnd w:id="10"/>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Accrued other</w:t>
            </w:r>
          </w:p>
        </w:tc>
        <w:tc>
          <w:tcPr>
            <w:tcW w:w="5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709</w:t>
            </w:r>
          </w:p>
        </w:tc>
        <w:tc>
          <w:tcPr>
            <w:tcW w:w="5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r>
      <w:tr>
        <w:trPr>
          <w:trHeight w:val="210"/>
        </w:trPr>
        <w:tc>
          <w:tcPr>
            <w:tcW w:w="6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expenses</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Redeemable convertible preferred stock</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has authorized preferred stock amounting to 5,000,000 shares as of June 30, 2018 and December 31, 2017. The authorized preferred stock was classified under stockholders’ equity at June 30, 2018 and December 31, 2017.</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Prior to the IPO in December 2017, the Company had classes of preferred stock outstanding. These shares of preferred stock were converted to shares of common stock at the time of the IPO on 1-for-3.214 shares basis. The reconciliation of net loss attributable to common shareholders in the consolidated statement of operations for the three and six months ended June 30, 2017 includes an adjustment for accretion of preferred stock to redemption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 stock-based compensation, stock options, restricted stock and restricted stock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During the six months ended June 30, 2018, the Company issued warrants to purchase common stock to a consultant providing services for the Company. Additionally, during the six months ended June 30, 2018, warrants were exercised by a holder on a net, non-cash, basis. A summary of warrant activity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exercise price</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8"/>
              </w:rPr>
              <w:t>Warrants outstanding as of December 31, 2017</w:t>
            </w:r>
          </w:p>
        </w:tc>
        <w:tc>
          <w:tcPr>
            <w:tcW w:w="9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86,090</w:t>
            </w:r>
          </w:p>
        </w:tc>
        <w:tc>
          <w:tcPr>
            <w:tcW w:w="2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Granted</w:t>
            </w:r>
          </w:p>
        </w:tc>
        <w:tc>
          <w:tcPr>
            <w:tcW w:w="2540" w:type="dxa"/>
            <w:vAlign w:val="bottom"/>
            <w:gridSpan w:val="3"/>
          </w:tcPr>
          <w:p>
            <w:pPr>
              <w:jc w:val="right"/>
              <w:ind w:right="260"/>
              <w:spacing w:after="0"/>
              <w:rPr>
                <w:sz w:val="20"/>
                <w:szCs w:val="20"/>
                <w:color w:val="auto"/>
              </w:rPr>
            </w:pPr>
            <w:r>
              <w:rPr>
                <w:rFonts w:ascii="Arial" w:cs="Arial" w:eastAsia="Arial" w:hAnsi="Arial"/>
                <w:sz w:val="18"/>
                <w:szCs w:val="18"/>
                <w:color w:val="auto"/>
              </w:rPr>
              <w:t>10,000</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21.00</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(20,049)</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Warrants outstanding as of June 30, 2018</w:t>
            </w:r>
          </w:p>
        </w:tc>
        <w:tc>
          <w:tcPr>
            <w:tcW w:w="9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76,041</w:t>
            </w:r>
          </w:p>
        </w:tc>
        <w:tc>
          <w:tcPr>
            <w:tcW w:w="260" w:type="dxa"/>
            <w:vAlign w:val="bottom"/>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3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15</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396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 stock-based compensation, stock options, restricted stock and restricted stock units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Share-based compensation expense for all stock awards consists of the following (in thousands):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9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Cost of service and other revenue</w:t>
            </w: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51</w:t>
            </w:r>
          </w:p>
        </w:tc>
        <w:tc>
          <w:tcPr>
            <w:tcW w:w="80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682</w:t>
            </w:r>
          </w:p>
        </w:tc>
        <w:tc>
          <w:tcPr>
            <w:tcW w:w="80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479</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1,205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3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As of June 30, 2018, under the 2007 Stock Option and Grant Plan (the 2007 Plan), options to purchase 2,092,449 shares of our common stock were outstanding, 729,232 shares of our common stock had been issued and were outstanding pursuant to the exercise of options, 1,128,975 shares of our common stock had been issued and were outstanding pursuant to restricted or unrestricted stock awards, and no shares of our common stock were available for future awards. In connection with the completion of the IPO, the Company terminated the 2007 Plan.</w:t>
      </w:r>
    </w:p>
    <w:p>
      <w:pPr>
        <w:spacing w:after="0" w:line="17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December 2017, the Company adopted the 2017 Employee, Director and Consultant Equity Incentive Plan (the 2017 Plan), under which it may grant incentive stock options, non-qualified stock options, restricted stock, and other stock-based awards. As of December 31, 2017, the 2017 Plan allowed for the issuance of up to 1,042,314 shares or options to purchase shares of common stock plus up to 2,490,290 shares of our common stock represented by awards granted under the 2007 Plan that are forfeited, expire or are cancelled without delivery of shares or which result in the forfeiture of shares of common stock back to the Company on or after the date the 2017 Plan becomes effective. As of June 30, 2018, 529,480 shares were available for grant under the 2017 Plan.</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 stock-based compensation, stock options, restricted stock and restricted stock units (continued)</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In addition, the 2017 Plan contains an “evergreen” provision, which allows for an annual increase in the number of shares of common stock available for issuance under the 2017 Plan on the first day of each fiscal year during the period beginning in fiscal year 2019 and ending in fiscal year 2027. The annual</w:t>
      </w:r>
    </w:p>
    <w:p>
      <w:pPr>
        <w:sectPr>
          <w:pgSz w:w="11900" w:h="16838" w:orient="portrait"/>
          <w:cols w:equalWidth="0" w:num="1">
            <w:col w:w="11460"/>
          </w:cols>
          <w:pgMar w:left="240" w:top="125" w:right="199" w:bottom="0" w:gutter="0" w:footer="0" w:header="0"/>
        </w:sectPr>
      </w:pPr>
    </w:p>
    <w:bookmarkStart w:id="11" w:name="page12"/>
    <w:bookmarkEnd w:id="11"/>
    <w:p>
      <w:pPr>
        <w:ind w:right="400"/>
        <w:spacing w:after="0" w:line="277" w:lineRule="auto"/>
        <w:rPr>
          <w:sz w:val="20"/>
          <w:szCs w:val="20"/>
          <w:color w:val="auto"/>
        </w:rPr>
      </w:pPr>
      <w:r>
        <w:rPr>
          <w:rFonts w:ascii="Arial" w:cs="Arial" w:eastAsia="Arial" w:hAnsi="Arial"/>
          <w:sz w:val="18"/>
          <w:szCs w:val="18"/>
          <w:color w:val="auto"/>
        </w:rPr>
        <w:t>increase in the number of shares shall be equal to the lowest of: 4% of the number of shares of common stock outstanding as of such date; and an amount determined by the Company’s Board of Directors or Compensation Committee.</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In December 2017, the Company adopted the 2017 Employee Stock Purchase Plan (the 2017 ESPP). As of June 30, 2018, the 2017 ESPP allowed for the issuance of up to 427,305 shares of common stock and 427,305 shares were available for grant under the 2017 ESPP.</w:t>
      </w:r>
    </w:p>
    <w:p>
      <w:pPr>
        <w:spacing w:after="0" w:line="14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2017 ESPP contains an “evergreen” provision, which allows for an increase on the first day of each fiscal year beginning with fiscal year 2018. The increase in the number of shares shall be equal to the lowest of: 1% of the number of shares of common stock outstanding on the last day of the immediately preceding fiscal year or an amount determined by the Company’s Board of Directors or Compensation Committee. The number of shares available for grant under the 2017 ESPP increased by 218,842 on January 1, 2018 due to this provision.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Under the 2007 and 2017 Plans, stock options may not be granted with exercise prices of less than fair market value on the date of the grant. Options generally vest ratably over a four-year period with 25% vesting on the first anniversary and the remaining 75% vesting ratably on a monthly basis over the remaining three years. These options expire ten years after the grant date. Activity under the 2007 and the 2017 Plans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Weighted-</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5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exercise</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life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price</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2,249,843</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508,418</w:t>
            </w:r>
          </w:p>
        </w:tc>
        <w:tc>
          <w:tcPr>
            <w:tcW w:w="3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19.35</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(157,394)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2.42</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Cancelled or forfeited</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(57,389)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11.64</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2018</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2,543,478</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8.80</w:t>
            </w:r>
          </w:p>
        </w:tc>
        <w:tc>
          <w:tcPr>
            <w:tcW w:w="130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w:t>
            </w:r>
          </w:p>
        </w:tc>
        <w:tc>
          <w:tcPr>
            <w:tcW w:w="2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16,560</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Vested and expected to vest at June 30, 2018</w:t>
            </w:r>
          </w:p>
        </w:tc>
        <w:tc>
          <w:tcPr>
            <w:tcW w:w="1140" w:type="dxa"/>
            <w:vAlign w:val="bottom"/>
          </w:tcPr>
          <w:p>
            <w:pPr>
              <w:jc w:val="right"/>
              <w:spacing w:after="0"/>
              <w:rPr>
                <w:sz w:val="20"/>
                <w:szCs w:val="20"/>
                <w:color w:val="auto"/>
              </w:rPr>
            </w:pPr>
            <w:r>
              <w:rPr>
                <w:rFonts w:ascii="Arial" w:cs="Arial" w:eastAsia="Arial" w:hAnsi="Arial"/>
                <w:sz w:val="18"/>
                <w:szCs w:val="18"/>
                <w:color w:val="auto"/>
              </w:rPr>
              <w:t>2,543,478</w:t>
            </w:r>
          </w:p>
        </w:tc>
        <w:tc>
          <w:tcPr>
            <w:tcW w:w="3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8.80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16,560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1,127,001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4.91</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Using the Black-Scholes option pricing model, the weighted-average fair value of options granted to employees and directors during the six months ended June 30, 2018 and 2017 was $8.43 and $4.50 per share, respectively. The expense related to awards granted to employees was $0.6 million and $1.1 million for the three and six months ended June 30, 2018, respectively. The expense related to awards granted to employees was $0.4 million and $0.5 million for the three and six months ended June 30, 2017, respectively. The intrinsic value of stock options exercised was $1.5 million and $2.5 million for the three and six months ended June 30, 2018, respectively. The intrinsic value of stock options exercised was $0.1 million and $0.2 million for the three and six months ended June 30, 2017, respectively. Activity related to non-employee awards was not material to the three and six months ended June 30, 2018 and 2017.</w:t>
      </w:r>
    </w:p>
    <w:p>
      <w:pPr>
        <w:spacing w:after="0" w:line="18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At June 30, 2018, there was $7.7 million of total unrecognized compensation cost related to unvested stock options, which is expected to be recognized over the remaining weighted-average vesting period of 3.3 years.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fair value of stock options granted to employees and directors for their services on the Company’s Board of Directors is estimated on the grant date using the Black-Scholes option-pricing model, based on the assumptions noted in the following table:</w:t>
      </w:r>
    </w:p>
    <w:p>
      <w:pPr>
        <w:spacing w:after="0" w:line="162" w:lineRule="exact"/>
        <w:rPr>
          <w:sz w:val="20"/>
          <w:szCs w:val="20"/>
          <w:color w:val="auto"/>
        </w:rPr>
      </w:pPr>
    </w:p>
    <w:p>
      <w:pPr>
        <w:jc w:val="center"/>
        <w:ind w:left="5860"/>
        <w:spacing w:after="0"/>
        <w:rPr>
          <w:sz w:val="20"/>
          <w:szCs w:val="20"/>
          <w:color w:val="auto"/>
        </w:rPr>
      </w:pPr>
      <w:r>
        <w:rPr>
          <w:rFonts w:ascii="Arial" w:cs="Arial" w:eastAsia="Arial" w:hAnsi="Arial"/>
          <w:sz w:val="14"/>
          <w:szCs w:val="14"/>
          <w:b w:val="1"/>
          <w:bCs w:val="1"/>
          <w:color w:val="auto"/>
        </w:rPr>
        <w:t>Six months ended</w:t>
      </w:r>
    </w:p>
    <w:p>
      <w:pPr>
        <w:jc w:val="center"/>
        <w:ind w:left="58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8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360" w:type="dxa"/>
            <w:vAlign w:val="bottom"/>
          </w:tcPr>
          <w:p>
            <w:pPr>
              <w:spacing w:after="0"/>
              <w:rPr>
                <w:sz w:val="12"/>
                <w:szCs w:val="12"/>
                <w:color w:val="auto"/>
              </w:rPr>
            </w:pPr>
          </w:p>
        </w:tc>
      </w:tr>
      <w:tr>
        <w:trPr>
          <w:trHeight w:val="210"/>
        </w:trPr>
        <w:tc>
          <w:tcPr>
            <w:tcW w:w="98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None</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3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41.4%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52.0%</w:t>
            </w:r>
          </w:p>
        </w:tc>
        <w:tc>
          <w:tcPr>
            <w:tcW w:w="1360" w:type="dxa"/>
            <w:vAlign w:val="bottom"/>
          </w:tcPr>
          <w:p>
            <w:pPr>
              <w:spacing w:after="0"/>
              <w:rPr>
                <w:sz w:val="20"/>
                <w:szCs w:val="20"/>
                <w:color w:val="auto"/>
              </w:rPr>
            </w:pPr>
          </w:p>
        </w:tc>
      </w:tr>
      <w:tr>
        <w:trPr>
          <w:trHeight w:val="418"/>
        </w:trPr>
        <w:tc>
          <w:tcPr>
            <w:tcW w:w="7340" w:type="dxa"/>
            <w:vAlign w:val="bottom"/>
            <w:gridSpan w:val="2"/>
          </w:tcPr>
          <w:p>
            <w:pPr>
              <w:jc w:val="right"/>
              <w:ind w:right="1450"/>
              <w:spacing w:after="0"/>
              <w:rPr>
                <w:sz w:val="20"/>
                <w:szCs w:val="20"/>
                <w:color w:val="auto"/>
              </w:rPr>
            </w:pPr>
            <w:r>
              <w:rPr>
                <w:rFonts w:ascii="Arial" w:cs="Arial" w:eastAsia="Arial" w:hAnsi="Arial"/>
                <w:sz w:val="18"/>
                <w:szCs w:val="18"/>
                <w:color w:val="auto"/>
              </w:rPr>
              <w:t>17</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63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 stock-based compensation, stock options, restricted stock and restricted stock units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Restricted common stock awards represent shares of common stock issued to employees subject to forfeiture if the vesting conditions are not satisfied. In December 2014, the Company issued 78,912 shares of restricted common stock to a director of the Company under the 2007 Plan. Under the terms of the agreement, shares of common stock issued are subject to a four year vesting schedule. Vesting occurs periodically at specified time intervals and specified percentages. In January 2015, the Company issued 781,060 shares of restricted common stock to an executive of the Company under the 2007 Plan. The majority of these shares were issued subject to a four year vesting schedule with 25% vesting on the first anniversary and the remaining vesting 75% ratably on a monthly basis over the remaining three years, while another portion was issued subject to performance based vesting. The vesting of performance based awards is dependent upon achievement of specified financial targets of the Company. The majority of the performance criteria were achieved during the years ended December 31, 2016 and 2015 and the remaining unvested awards with performance conditions are not material. No restricted stock awards were granted during the six months ended June 30, 2018. A summary of restricted stock activity is as follows:</w:t>
      </w:r>
    </w:p>
    <w:p>
      <w:pPr>
        <w:spacing w:after="0" w:line="146" w:lineRule="exact"/>
        <w:rPr>
          <w:sz w:val="20"/>
          <w:szCs w:val="20"/>
          <w:color w:val="auto"/>
        </w:rPr>
      </w:pPr>
    </w:p>
    <w:tbl>
      <w:tblPr>
        <w:tblLayout w:type="fixed"/>
        <w:tblInd w:w="742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1560" w:type="dxa"/>
            <w:vAlign w:val="bottom"/>
          </w:tcPr>
          <w:p>
            <w:pPr>
              <w:jc w:val="center"/>
              <w:ind w:left="388"/>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56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rPr>
              <w:t>Shares</w:t>
            </w:r>
          </w:p>
        </w:tc>
        <w:tc>
          <w:tcPr>
            <w:tcW w:w="156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3"/>
        </w:trPr>
        <w:tc>
          <w:tcPr>
            <w:tcW w:w="840" w:type="dxa"/>
            <w:vAlign w:val="bottom"/>
            <w:vMerge w:val="continue"/>
          </w:tcPr>
          <w:p>
            <w:pPr>
              <w:spacing w:after="0"/>
              <w:rPr>
                <w:sz w:val="15"/>
                <w:szCs w:val="15"/>
                <w:color w:val="auto"/>
              </w:rPr>
            </w:pPr>
          </w:p>
        </w:tc>
        <w:tc>
          <w:tcPr>
            <w:tcW w:w="1560" w:type="dxa"/>
            <w:vAlign w:val="bottom"/>
          </w:tcPr>
          <w:p>
            <w:pPr>
              <w:jc w:val="center"/>
              <w:ind w:left="388"/>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-635</wp:posOffset>
            </wp:positionV>
            <wp:extent cx="579755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ind w:left="980"/>
        <w:spacing w:after="0"/>
        <w:tabs>
          <w:tab w:leader="none" w:pos="7580" w:val="left"/>
          <w:tab w:leader="none" w:pos="8500" w:val="left"/>
          <w:tab w:leader="none" w:pos="9680" w:val="left"/>
        </w:tabs>
        <w:rPr>
          <w:sz w:val="20"/>
          <w:szCs w:val="20"/>
          <w:color w:val="auto"/>
        </w:rPr>
      </w:pPr>
      <w:r>
        <w:rPr>
          <w:rFonts w:ascii="Arial" w:cs="Arial" w:eastAsia="Arial" w:hAnsi="Arial"/>
          <w:sz w:val="18"/>
          <w:szCs w:val="18"/>
          <w:b w:val="1"/>
          <w:bCs w:val="1"/>
          <w:color w:val="auto"/>
        </w:rPr>
        <w:t>Unvested restricted common stock as of December 31, 2017</w:t>
      </w:r>
      <w:r>
        <w:rPr>
          <w:sz w:val="20"/>
          <w:szCs w:val="20"/>
          <w:color w:val="auto"/>
        </w:rPr>
        <w:tab/>
      </w:r>
      <w:r>
        <w:rPr>
          <w:rFonts w:ascii="Arial" w:cs="Arial" w:eastAsia="Arial" w:hAnsi="Arial"/>
          <w:sz w:val="18"/>
          <w:szCs w:val="18"/>
          <w:color w:val="auto"/>
        </w:rPr>
        <w:t>177,192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3.11</w:t>
      </w:r>
    </w:p>
    <w:p>
      <w:pPr>
        <w:sectPr>
          <w:pgSz w:w="11900" w:h="16838" w:orient="portrait"/>
          <w:cols w:equalWidth="0" w:num="1">
            <w:col w:w="11460"/>
          </w:cols>
          <w:pgMar w:left="240" w:top="125" w:right="199" w:bottom="0" w:gutter="0" w:footer="0" w:header="0"/>
          <w:type w:val="continuous"/>
        </w:sectPr>
      </w:pPr>
    </w:p>
    <w:bookmarkStart w:id="12" w:name="page13"/>
    <w:bookmarkEnd w:id="12"/>
    <w:tbl>
      <w:tblPr>
        <w:tblLayout w:type="fixed"/>
        <w:tblInd w:w="98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(99,528)</w:t>
            </w:r>
          </w:p>
        </w:tc>
        <w:tc>
          <w:tcPr>
            <w:tcW w:w="76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Unvested restricted common stock as of June 30, 2018</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77,664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expense related to awards granted to employees and directors was $0.1 million and $0.3 million for the three and six months ended June 30, 2018, respectively. The expense related to awards granted to employees and directors was $0.1 million and $0.3 million for the three and six months ended June 30, 2017, respectively.</w:t>
      </w:r>
    </w:p>
    <w:p>
      <w:pPr>
        <w:spacing w:after="0" w:line="18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At June 30, 2018, there was $0.2 million of total unrecognized compensation cost related to unvested restricted stock, which is expected to be recognized over the remaining weighted-average vesting period of 0.5 years.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aggregate fair value of restricted stock awards that vested during the six months ended June 30, 2018, based on estimated fair values of the stock underlying the restricted stock awards on the day of vesting, was $1.8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Restricted stock units represent the right to receive shares of common stock upon meeting specified vesting requirements. In the six months ended June 30, 2018, the Company issued 73,179 restricted stock units to employees of the Company under the 2017 Plan. Under the terms of the agreements, 54,979 of the restricted stock units issued are subject to a four year vesting schedule with 25% vesting on the first anniversary and the remaining vesting 75% ratably on a monthly basis over the remaining three years and 18,200 of the restricted stock units issued are subject to vesting with 50% vesting on December 31, 2018 and 50% vesting on December 31, 2019. A summary of restricted stock unit activity is as follows:</w:t>
      </w:r>
    </w:p>
    <w:p>
      <w:pPr>
        <w:spacing w:after="0" w:line="152"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3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Unvested restricted stock units as of December 31, 2017</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73,179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Unvested restricted stock units as of June 30, 2018</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73,179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expense related to awards granted to employees and directors was $0.1 million for the three and six months ended June 30, 2018.</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At June 30, 2018, there was $1.3 million of total unrecognized compensation cost related to unvested restricted stock, which is expected to be recognized over the remaining weighted-average vesting period of 3.4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Tufts University</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June 2007, the Company entered into a license agreement (the License Agreement) for certain intellectual property with Tufts University (Tufts). Tufts is a related party to the Company due to Tuft’s equity ownership in the Company and because a board member of the Company’s Board of Directors was affiliated with Tufts. The License Agreement, which was subsequently amended, is exclusive and sub licensable, and will continue in effect on a country by country basis as long as there is a valid claim of a licensed patent in a country. The Company was committed to pay license and maintenance fees, prior to commercialization, in addition to low single digit royalties on direct sales and services and a royalty on sublicense income. During the three months ended June 30, 2018 and 2017, and the six months ended June 30, 2018 and 2017, the Company recorded royalty expense of $0.2 million, $0.1 million, $0.3 million and $0.2 million, respectively, in cost of product revenue on the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licenses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During the year ended December 31, 2012, the Company entered into a license agreement for certain intellectual property with a third party. The non-exclusive, non-sublicenseable third party’s license provides the Company access to certain patents specifically for protein detection, and shall be in effect until the expiration of the last licensed patent. In consideration for these rights, the Company committed to certain license fees, milestone payments, minimum annual royalties and a mid-single digit royalty. The Company is required to make mid-single digit royalty payments on net sales of products and services which utilize the licensed technology. The Company must pay the greater of calculated royalties on net sales or an annual minimum royalty of $50 thousand. During the three months ended June 30, 2018 and 2017, and the six months ended June 30, 2018 and 2017, the Company recorded royalty expense of less than $0.1 million, $0.1 million, less than $0.1 million and $0.2 million, respectively, in cost of product revenue on the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During the year ended December 31, 2014, the Company entered into a lease agreement for the Company’s current corporate headquarters with a lease term that expires in June 2020 which can be extended to June 2023. The lease agreement contains a period of free rent and annual increases to rental amounts.</w:t>
      </w:r>
    </w:p>
    <w:p>
      <w:pPr>
        <w:spacing w:after="0" w:line="181"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In connection with the acquisition of Aushon in January 2018, the Company assumed the existing Aushon lease for facilities in Billerica, Massachesetts. The lease expires in February 2021.</w:t>
      </w:r>
    </w:p>
    <w:p>
      <w:pPr>
        <w:sectPr>
          <w:pgSz w:w="11900" w:h="16838" w:orient="portrait"/>
          <w:cols w:equalWidth="0" w:num="1">
            <w:col w:w="11420"/>
          </w:cols>
          <w:pgMar w:left="240" w:top="125" w:right="239" w:bottom="58" w:gutter="0" w:footer="0" w:header="0"/>
        </w:sectPr>
      </w:pPr>
    </w:p>
    <w:bookmarkStart w:id="13" w:name="page14"/>
    <w:bookmarkEnd w:id="13"/>
    <w:p>
      <w:pPr>
        <w:ind w:firstLine="648"/>
        <w:spacing w:after="0" w:line="277" w:lineRule="auto"/>
        <w:rPr>
          <w:sz w:val="20"/>
          <w:szCs w:val="20"/>
          <w:color w:val="auto"/>
        </w:rPr>
      </w:pPr>
      <w:r>
        <w:rPr>
          <w:rFonts w:ascii="Arial" w:cs="Arial" w:eastAsia="Arial" w:hAnsi="Arial"/>
          <w:sz w:val="18"/>
          <w:szCs w:val="18"/>
          <w:color w:val="auto"/>
        </w:rPr>
        <w:t>Rent expense is recognized straight-line over the course of the lease term. As of June 30, 2018, $0.1 million of deferred rent expense was recorded in other non-current liabilities, and less than $0.1 million was recorded in other accrued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2018, the minimum future rent payments under the lease agreements are as follows (in thousands):</w:t>
      </w:r>
    </w:p>
    <w:p>
      <w:pPr>
        <w:spacing w:after="0" w:line="240"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Remainder of 2018</w:t>
            </w: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1,399</w:t>
            </w:r>
          </w:p>
        </w:tc>
        <w:tc>
          <w:tcPr>
            <w:tcW w:w="8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814</w:t>
            </w:r>
          </w:p>
        </w:tc>
        <w:tc>
          <w:tcPr>
            <w:tcW w:w="8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r>
      <w:tr>
        <w:trPr>
          <w:trHeight w:val="210"/>
        </w:trPr>
        <w:tc>
          <w:tcPr>
            <w:tcW w:w="78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recorded $0.4 million, $0.3 million, $0.7 million and $0.6 million in rent expense for the three months ended June 30, 2018 and 2017, and the six months ended June 30, 2018 and 2017,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supply agreement</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Through the Company’s development agreement with STRATEC Biomedical, as amended in December 2016, the parties agreed on additional development services for an additional fee, which is payable when the additional development is completed. A total of $1.5 million is payable to STRATEC upon completion of the development activities. This amount is being recorded to research and development expense and accrued expenses as the services are performed. The services are expected to be completed during the year ending December 31, 2018. Substantive efforts related to these additional development activities started in the first quarter of 2017.</w:t>
      </w:r>
    </w:p>
    <w:p>
      <w:pPr>
        <w:spacing w:after="0" w:line="188"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The Company’s supply agreement with STRATEC Biomedical requires the Company to purchase a minimum number of commercial units over a seven-year period ending in May 2021. If the Company were to fail to purchase a required number of commercial units, the Company would be obligated to pay termination costs and in addition a fee based on the shortfall of commercial units purchased compared to the required minimum amount. Based on the number of commercial instruments purchased as of June 30, 2018, assuming no additional commercial units were purchased, this fee would equal</w:t>
      </w:r>
    </w:p>
    <w:p>
      <w:pPr>
        <w:spacing w:after="0" w:line="2"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$11.7 million. The amount the Company could be obligated to pay under the minimum purchase commitment is reduced as each commercial unit is purchased. Also, if the Company terminates the Supply Agreement under certain circumstances and has not purchased a required number of commercial units, it would be obligated to issue warrants to purchase 93,341 shares of common stock (the Supply Warrants) at $0.003214 per share. The Company believes that it will purchase sufficient units to meet the requirements of the minimum purchase commitment and, therefore, has not accrued for any of the potential cash consideration. The Supply Warrants are accounted for at fair value; however, the fair value of the Supply Warrants as of June 30, 2018 and December 31, 2017 was insignificant as there was a low probability of the warrants being issued.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April 14, 2014, the Company executed a Loan Agreement with a lender, as subsequently amended in March 2015, January 2016 and</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March 2017. As of June 30, 2018, there were no additional amounts available to borrow under the debt facility. The interest rate on this term loan is variable based on a calculation of the prime rate less 5.25% with a minimum interest rate of 8%. Interest is paid monthly beginning the month following the borrowing date. At loan inception and in connection with the amendments, the Company issued the lender warrants to purchase shares of stock. The Loan Agreement also contains prepayment penalties and an end of term charge. Fees incurred in execution of the agreements, and the fair value of warrants on the date of grant were accounted for as a reduction in the book value of debt and accreted through interest expense, using the effective interest rate method, over the term of the debt.</w:t>
      </w:r>
    </w:p>
    <w:p>
      <w:pPr>
        <w:spacing w:after="0" w:line="19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end of term charge of $0.5 million, and principal payments of $1.4 million were paid during the six months ended June 30, 2018. Under the terms of the agreement, principal payments were delayed until September 2018. The Company voluntarily made principal payments in the months of March, April and May, 2018. No principal payments were made in June, July or August, 2018. The Company expects to resume paying pricipal on the loan in September, 2018. As of June 30, 2018 the remaining loan balance is classified as a current liability since all principal payments are due within twelve months of the balance sheet date.</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200" w:type="dxa"/>
            <w:vAlign w:val="bottom"/>
            <w:gridSpan w:val="2"/>
          </w:tcPr>
          <w:p>
            <w:pPr>
              <w:spacing w:after="0"/>
              <w:rPr>
                <w:sz w:val="20"/>
                <w:szCs w:val="20"/>
                <w:color w:val="auto"/>
              </w:rPr>
            </w:pPr>
            <w:r>
              <w:rPr>
                <w:rFonts w:ascii="Arial" w:cs="Arial" w:eastAsia="Arial" w:hAnsi="Arial"/>
                <w:sz w:val="18"/>
                <w:szCs w:val="18"/>
                <w:color w:val="auto"/>
              </w:rPr>
              <w:t>Debt payment obligations due based on principal payments are as follows (in thousands):</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Remainder of 2018</w:t>
            </w: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0" w:gutter="0" w:footer="0" w:header="0"/>
        </w:sectPr>
      </w:pPr>
    </w:p>
    <w:bookmarkStart w:id="14" w:name="page15"/>
    <w:bookmarkEnd w:id="14"/>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Notes payable (continued)</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Non-cash interest expense related to debt discount amortization and accretion of end of term fees was less than $0.1 million, less than $0.1 million, $0.1 million and $0.1 million for the three months ended June 30, 2018 and 2017, and the six months ended June 30, 2018 and 2017,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Collaboration and license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development and license agreement (JDLA)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JDLA with bioMérieux, a related party, was amended in 2016. Following the amendment, a total of $3.2 million of consideration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was assigned to the deliverables and collaboration activities outlined in the amendment to the JDLA. The consideration of $3.2 million will be recognized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 the performance period which began in the fourth quarter 2016 and is expected to be completed in the year ending December 31, 2019.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recognized revenue of $0.3 million and $0.5 million for the three and six months ended June 30, 2018, respectively, as collaboration revenue and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2018, $1.6 million of arrangement consideration remains in deferred revenue. The Company recognized revenue of $0.3 million and $0.5 million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three and six months ended June 30, 2017, respectively, as collaboration revenue.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and option agreements and license agreement</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2015, the Company entered into three agreements, for three separate fields, with a diagnostic company for the evaluation of the Company’s Simoa technology. These agreements each allowed for the option to negotiate a license agreement. In return, the Company received non-refundable payments totaling $2.0 million. In December 2016, the diagnostic company exercised one of its options and the parties entered into a license agreement in one of the fields. This agreement has a one-time non-refundable license fee of $1.0 million and the right to receive running low single digit royalties on licensed products. The negotiation periods for the other two agreements were extended and the negotiations remain ongoing.</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Upon execution of the license in one of the fields in December 2016, the $1.0 million license fee, in addition to the $0.8 million allocated to the option for this field, resulted in a total of $1.8 million of consideration being recognized as revenue as there were no remaining undelivered performance obligations. Because the negotiations remain ongoing with respect to the other two fields, the consideration allocated to these options of $1.2 million has been deferred and is recorded as deferred revenue as of June 30, 2018 and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combinations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On January 30, 2018, the Company completed the acquisition of Aushon pursuant to an Agreement and Plan of Merger dated January 30, 2018 (the “Aushon Acquisition”). The Company acquired Aushon to complement its existing product line, improve its existing research and development capabilities in assay development and software engineering, and expand its customer base. The Aushon Acquisition has been accounted for as a business combination and, in accordance with ASC 805, the Company has recorded the assets acquired and liabilities assumed at their respective fair values as of the acquisition date.</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the closing of the Aushon Acquisition, the Company paid $3.2 million at closing, and an additional $0.8 million in July, 2018, the six-month anniversary following the acquisition date.</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purchase price allocation is considered preliminary, and additional adjustments may be recorded during the allocation period in accordance with ASC 805. The purchase price allocation will be finalized as the Company receives additional information relevant to the acquisition, including the final valuation and reconciliation of the assets purchased, including tangible and intangible assets, and liabilities assumed.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combinations (continued)</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presents the preliminary allocation of the purchase consideration for the transaction as of January 30, 2018 including the contingent consideration and the preliminary allocation of the purchase consideration (in thousands):</w:t>
      </w:r>
    </w:p>
    <w:p>
      <w:pPr>
        <w:spacing w:after="0" w:line="185"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 transferred:</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Cash</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Obligation to issue cash</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acquisition consideration</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Fair value of assets acquired and liabilities assumed:</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00"/>
          </w:cols>
          <w:pgMar w:left="240" w:top="125" w:right="259" w:bottom="0" w:gutter="0" w:footer="0" w:header="0"/>
        </w:sectPr>
      </w:pPr>
    </w:p>
    <w:bookmarkStart w:id="15" w:name="page16"/>
    <w:bookmarkEnd w:id="15"/>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828</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Prepaid expenses</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and other non-current assets</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2,950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1,308</w:t>
            </w:r>
          </w:p>
        </w:tc>
      </w:tr>
      <w:tr>
        <w:trPr>
          <w:trHeight w:val="210"/>
        </w:trPr>
        <w:tc>
          <w:tcPr>
            <w:tcW w:w="6300" w:type="dxa"/>
            <w:vAlign w:val="bottom"/>
          </w:tcPr>
          <w:p>
            <w:pPr>
              <w:spacing w:after="0"/>
              <w:rPr>
                <w:sz w:val="20"/>
                <w:szCs w:val="20"/>
                <w:color w:val="auto"/>
              </w:rPr>
            </w:pPr>
            <w:r>
              <w:rPr>
                <w:rFonts w:ascii="Arial" w:cs="Arial" w:eastAsia="Arial" w:hAnsi="Arial"/>
                <w:sz w:val="18"/>
                <w:szCs w:val="18"/>
                <w:color w:val="auto"/>
              </w:rPr>
              <w:t>Total assets acquired</w:t>
            </w: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5,746</w:t>
            </w:r>
          </w:p>
        </w:tc>
        <w:tc>
          <w:tcPr>
            <w:tcW w:w="12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(1,155)</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(591)</w:t>
            </w:r>
          </w:p>
        </w:tc>
      </w:tr>
      <w:tr>
        <w:trPr>
          <w:trHeight w:val="210"/>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intangible assets identified in the purchase price allocation discussed above include developed technology, trade names and customer relationships. Trade names are amortized over the useful life on a straight-line basis, while developed technology and customer relationships are amortized over their respective useful lives on an accelerated basis reflecting the period of expected derived benefits of the underlying assets. Developed technology consists of products that have reached technological feasibility and trade names represent acquired company and product names. To value the developed technology and trade name assets, the Company utilized a relief from royalty method. Under the methodology, fair value is calculated as the discounted cash flow savings accruing to the owner for not having to pay the royalty. Key assumptions included expected revenue attributable to the assets, royalty rates, discount rate and estimated asset lives. Customer relationships represent the underlying relationships with certain customers to provide ongoing services and continued product sale opportunities. The Company utilized excess earnings methodology to derive the fair value of the customer relationships. Key assumptions included expected attrition of customers rates, operating income margins and discount rate. The Company used a risk-adjusted discount rate of 14.4% in determining the fair value of the intangible assets.</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combinations (continued)</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goodwill recorded as a result of the Aushon Acquisition represents the strategic benefits of growing the Company’s product portfolio and the expected revenue growth from increased market penetration from future products and customers.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incurred a total of $0.1 million in transaction costs in connection with the transaction, which were included in selling, general and administrative expense within the consolidated statement of operations for the six months ended June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Goodwill and Acquired Intangible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2018 the carrying amount of goodwill was $1.3 million. The following is a rollforward of our goodwill balance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Goodwill</w:t>
            </w: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 acquired</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20" w:type="dxa"/>
            <w:vAlign w:val="bottom"/>
            <w:tcBorders>
              <w:bottom w:val="single" w:sz="8" w:color="CCEEFF"/>
            </w:tcBorders>
          </w:tcPr>
          <w:p>
            <w:pPr>
              <w:spacing w:after="0"/>
              <w:rPr>
                <w:sz w:val="18"/>
                <w:szCs w:val="18"/>
                <w:color w:val="auto"/>
              </w:rPr>
            </w:pPr>
          </w:p>
        </w:tc>
      </w:tr>
      <w:tr>
        <w:trPr>
          <w:trHeight w:val="210"/>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right="6160" w:hanging="332"/>
        <w:spacing w:after="0" w:line="560" w:lineRule="auto"/>
        <w:tabs>
          <w:tab w:leader="none" w:pos="28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Acquired Intangible Assets (continued) </w:t>
      </w:r>
      <w:r>
        <w:rPr>
          <w:rFonts w:ascii="Arial" w:cs="Arial" w:eastAsia="Arial" w:hAnsi="Arial"/>
          <w:sz w:val="16"/>
          <w:szCs w:val="16"/>
          <w:color w:val="auto"/>
        </w:rPr>
        <w:t>Purchased intangible assets consist of the following (in thousands):</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2018</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60" w:type="dxa"/>
            <w:vAlign w:val="bottom"/>
          </w:tcPr>
          <w:p>
            <w:pPr>
              <w:spacing w:after="0"/>
              <w:rPr>
                <w:sz w:val="10"/>
                <w:szCs w:val="10"/>
                <w:color w:val="auto"/>
              </w:rPr>
            </w:pPr>
          </w:p>
        </w:tc>
        <w:tc>
          <w:tcPr>
            <w:tcW w:w="14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Useful</w:t>
            </w:r>
          </w:p>
        </w:tc>
        <w:tc>
          <w:tcPr>
            <w:tcW w:w="180" w:type="dxa"/>
            <w:vAlign w:val="bottom"/>
          </w:tcPr>
          <w:p>
            <w:pPr>
              <w:spacing w:after="0"/>
              <w:rPr>
                <w:sz w:val="10"/>
                <w:szCs w:val="10"/>
                <w:color w:val="auto"/>
              </w:rPr>
            </w:pPr>
          </w:p>
        </w:tc>
        <w:tc>
          <w:tcPr>
            <w:tcW w:w="128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6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recorded amortization expense of $0.2 million and $0.3 million, for the three and six months ended June 30, 2018, respectively. No amortization expense was recognized for the three and six months ended June 30, 2017. Amortization relating to developed technology is recorded within research and development expense, amortization of customer relationships is recorded within sales and marketing expenses, and amortization of trade names is recorded within general and administrative expenses.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estimated amortization expense of acquired intangibles as of June 30, 2018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152400</wp:posOffset>
            </wp:positionV>
            <wp:extent cx="5282565" cy="704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82565" cy="70485"/>
                    </a:xfrm>
                    <a:prstGeom prst="rect">
                      <a:avLst/>
                    </a:prstGeom>
                    <a:noFill/>
                  </pic:spPr>
                </pic:pic>
              </a:graphicData>
            </a:graphic>
          </wp:anchor>
        </w:drawing>
      </w:r>
    </w:p>
    <w:p>
      <w:pPr>
        <w:sectPr>
          <w:pgSz w:w="11900" w:h="16838" w:orient="portrait"/>
          <w:cols w:equalWidth="0" w:num="1">
            <w:col w:w="11340"/>
          </w:cols>
          <w:pgMar w:left="240" w:top="140" w:right="319" w:bottom="0" w:gutter="0" w:footer="0" w:header="0"/>
        </w:sectPr>
      </w:pPr>
    </w:p>
    <w:bookmarkStart w:id="16" w:name="page17"/>
    <w:bookmarkEnd w:id="16"/>
    <w:tbl>
      <w:tblPr>
        <w:tblLayout w:type="fixed"/>
        <w:tblInd w:w="1300"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3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2019</w:t>
            </w:r>
          </w:p>
        </w:tc>
        <w:tc>
          <w:tcPr>
            <w:tcW w:w="33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582</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2021</w:t>
            </w:r>
          </w:p>
        </w:tc>
        <w:tc>
          <w:tcPr>
            <w:tcW w:w="33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403</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Thereafter</w:t>
            </w:r>
          </w:p>
        </w:tc>
        <w:tc>
          <w:tcPr>
            <w:tcW w:w="332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543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bioMérieux is a customer through its Joint Development and License Agreement and also a holder of the Company’s common stock. bioMérieux formerly also had a designee on the Company’s Board of Directors. The Company recognized revenue related to the JDLA with bioMérieux of $0.3 million, $0.3 million, $0.5 million and $0.5 million in the three months ended June 30, 2018 and 2017, and the six months ended June 30, 2018 and 2017, respectively, from bioMérieux. The Company also had deferred revenue of $1.6 million and $2.1 million at June 30, 2018 and December 31, 2017, respectively.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 (continued)</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entered into a license agreement (the License Agreement) for certain intellectual property with Tufts University (Tufts). Tufts is a related party to the Company due to Tuft’s equity ownership in the Company and because a member of the Company’s Board of Directors was affiliated with Tufts. During the three months ended June 30, 2018 and 2017 and the six months ended June 30, 2018 and 2017, the Company recorded royalty expense of $0.2 million, $0.1 million, $0.3 million and $0.2 million, respectively, in cost of product revenue on the consolidated statements of operations and comprehensive loss.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year ended December 31, 2017, Harvard University became a related party. Revenue recorded from sales to Harvard University were less than $0.1 million for the three and six months ended June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 has evaluated, for potential recognition and disclosure, events that occurred prior to the date at which the condensed consolidated financial statements were available to be issued. There were no material subsequent events.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included elsewhere in this Quarterly Report on Form 10-Q and our audited financial statements and Management’s Discussion and Analysis of Financial Condition and Results of Operations included in our Annual Report on Form 10-K for the year ended December 31, 2017, filed with the SEC. In addition to historical information, the following discussion contains forward-looking statements that involve risks, uncertainties and assumptions. Our actual results, performance or experience could differ materially from what is indicated by any forward-looking statement due to various important factors, risks and uncertainties, including, but not limited to, those set forth under “Special Note Regarding Forward-Looking Statements” included elsewhere in this quarterly report or under “Risk Factors” in Item 1A of Part I of our Annual Report on Form 10-K for the year ended December 31, 2017 or other filings that we make with the SEC.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are a life sciences company that has developed a next generation, ultra-sensitive digital immunoassay platform that advances precision health for life sciences research and diagnostics. Our platform enables customers to reliably detect protein biomarkers in extremely low concentrations in blood, serum and other fluids that, in many cases, are undetectable using conventional, analog immunoassay technologies. It also allows researchers to define and validate the function of novel protein biomarkers that are only present in very low concentrations and have been discovered using technologies such as mass spectrometry.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 We are currently focusing our platform on protein detection, which we believe is an area of significant unmet need and where we have significant competitive advantages. In addition to enabling new applications and insights in protein analysis, we are also developing our Simoa technology to detect nucleic acids in biological samples.</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currently sell all of our products for life science research, primarily to laboratories associated with academic and governmental research institutions, as well as pharmaceutical, biotechnology and contract research companies, through a direct sales force and support organizations in North America and Europe, and through distributors or sales agents in other select markets, including Australia, China, Japan, India, Lebanon, Singapore, South Korea and Taiwan. We grew our revenue from $12.2 million in 2015 to $17.6 million in 2016 and to $22.9 million in 2017, and from $10.6 million in the first half of 2017 to $16.2 million in the first half of 2018.</w:t>
      </w:r>
    </w:p>
    <w:p>
      <w:pPr>
        <w:sectPr>
          <w:pgSz w:w="11900" w:h="16838" w:orient="portrait"/>
          <w:cols w:equalWidth="0" w:num="1">
            <w:col w:w="11380"/>
          </w:cols>
          <w:pgMar w:left="240" w:top="140" w:right="279" w:bottom="0" w:gutter="0" w:footer="0" w:header="0"/>
        </w:sectPr>
      </w:pPr>
    </w:p>
    <w:bookmarkStart w:id="17" w:name="page18"/>
    <w:bookmarkEnd w:id="17"/>
    <w:p>
      <w:pPr>
        <w:ind w:right="240" w:firstLine="648"/>
        <w:spacing w:after="0" w:line="302" w:lineRule="auto"/>
        <w:rPr>
          <w:sz w:val="20"/>
          <w:szCs w:val="20"/>
          <w:color w:val="auto"/>
        </w:rPr>
      </w:pPr>
      <w:r>
        <w:rPr>
          <w:rFonts w:ascii="Arial" w:cs="Arial" w:eastAsia="Arial" w:hAnsi="Arial"/>
          <w:sz w:val="16"/>
          <w:szCs w:val="16"/>
          <w:color w:val="auto"/>
        </w:rPr>
        <w:t>Our instruments are designed to be used either with assays fully developed by us, including all antibodies and supplies required to run the tests, or with “homebrew” kits where we supply some of the components required for testing, and the customer supplies the remaining required elements. Accordingly, our installed instruments generate a recurring revenue stream. We believe that our recurring consumable revenue is driven by our customers’ ability to extract more valuable data using our platform and to process a large number of samples quickly with little hands-on preparation.</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While we expect the Quanterix SR-X to generate lower consumables revenue per instrument than the Simoa HD-1 Analyzer due to its lower throughput, as the installed base of the Simoa instruments increases, total consumables revenue overall is expected to increase. We believe that consumables revenue should be subject to less period-to-period fluctuation than our instrument sales revenue, and will become an increasingly important contributor to our overall revenue.</w:t>
      </w:r>
    </w:p>
    <w:p>
      <w:pPr>
        <w:spacing w:after="0" w:line="18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On January 30, 2018, we acquired Aushon Biosystems, Inc. for $3.2 million in cash, with an additional payment of $0.8 million made in July 2018, six months after the acquisition date. We believe that this acquisition provides us technologies and expertise to help further expand our instrument and biomarker menu. Additionally, we expect that Aushon’s CLIA-certified laboratory will help accelerate our entry into pharmaceutical services.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June 30, 2018, we had cash and cash equivalents of $60.5 million. Since inception, we have incurred net losses. Our net loss was</w:t>
      </w:r>
    </w:p>
    <w:p>
      <w:pPr>
        <w:spacing w:after="0" w:line="35"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$27.0 million, $23.2 million, and $15.9 million for the years ended December 31, 2017, 2016 and 2015, respectively, and $14.5 million and $13.0 million for the six months ended June 30, 2018 and 2017, respectively. As of June 30, 2018, we had an accumulated deficit of $158.9 million and stockholders’ equity of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$53.2 million. We expect to continue to incur significant expenses and operating losses at least through the next 24 months. We expect our expenses will increase substantially as we:</w:t>
      </w:r>
    </w:p>
    <w:p>
      <w:pPr>
        <w:spacing w:after="0" w:line="170"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our sales and marketing efforts to further commercialize our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our research and development efforts to improve our existing products and develop and launch new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strategically acquire complementary companies and/or technologies;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 into collaboration arrangements, if any, or in-license other products and technologies;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2018 and June 30, 2017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Three months ended</w:t>
            </w: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4"/>
                <w:szCs w:val="14"/>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Three months ended</w:t>
            </w: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74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90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June 30, 2017</w:t>
            </w:r>
          </w:p>
        </w:tc>
        <w:tc>
          <w:tcPr>
            <w:tcW w:w="3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7"/>
              </w:rPr>
              <w:t>change</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1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3,174</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1,608</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1,566</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8,643</w:t>
            </w:r>
          </w:p>
        </w:tc>
        <w:tc>
          <w:tcPr>
            <w:tcW w:w="220" w:type="dxa"/>
            <w:vAlign w:val="bottom"/>
            <w:vMerge w:val="continue"/>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5,213</w:t>
            </w:r>
          </w:p>
        </w:tc>
        <w:tc>
          <w:tcPr>
            <w:tcW w:w="320" w:type="dxa"/>
            <w:vAlign w:val="bottom"/>
            <w:vMerge w:val="continue"/>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3,430</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22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3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22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1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1,725</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1,198</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527</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3,705</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3,903</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7,579</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4,747</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91.0%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2,832</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15,954</w:t>
            </w:r>
          </w:p>
        </w:tc>
        <w:tc>
          <w:tcPr>
            <w:tcW w:w="22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184.6%</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(7,311)</w:t>
            </w:r>
          </w:p>
        </w:tc>
        <w:tc>
          <w:tcPr>
            <w:tcW w:w="220" w:type="dxa"/>
            <w:vAlign w:val="bottom"/>
            <w:vMerge w:val="continue"/>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(6,469)</w:t>
            </w:r>
          </w:p>
        </w:tc>
        <w:tc>
          <w:tcPr>
            <w:tcW w:w="320" w:type="dxa"/>
            <w:vAlign w:val="bottom"/>
            <w:vMerge w:val="continue"/>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(124.1)%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(842)</w:t>
            </w:r>
          </w:p>
        </w:tc>
        <w:tc>
          <w:tcPr>
            <w:tcW w:w="220" w:type="dxa"/>
            <w:vAlign w:val="bottom"/>
            <w:vMerge w:val="continue"/>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22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3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2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340" w:firstLine="648"/>
        <w:spacing w:after="0" w:line="291" w:lineRule="auto"/>
        <w:rPr>
          <w:sz w:val="20"/>
          <w:szCs w:val="20"/>
          <w:color w:val="auto"/>
        </w:rPr>
      </w:pPr>
      <w:r>
        <w:rPr>
          <w:rFonts w:ascii="Arial" w:cs="Arial" w:eastAsia="Arial" w:hAnsi="Arial"/>
          <w:sz w:val="16"/>
          <w:szCs w:val="16"/>
          <w:color w:val="auto"/>
        </w:rPr>
        <w:t>Revenue increased by $3.4 million, or 65.8%, to $8.6 million for the three months ended June 30, 2018 as compared to $5.2 million for the three months ended June 30, 2017. Product revenue consisted of sales of instruments totaling $1.8 million and sales of consumables and other products of</w:t>
      </w:r>
    </w:p>
    <w:p>
      <w:pPr>
        <w:ind w:right="20"/>
        <w:spacing w:after="0" w:line="268" w:lineRule="auto"/>
        <w:rPr>
          <w:sz w:val="20"/>
          <w:szCs w:val="20"/>
          <w:color w:val="auto"/>
        </w:rPr>
      </w:pPr>
      <w:r>
        <w:rPr>
          <w:rFonts w:ascii="Arial" w:cs="Arial" w:eastAsia="Arial" w:hAnsi="Arial"/>
          <w:sz w:val="17"/>
          <w:szCs w:val="17"/>
          <w:color w:val="auto"/>
        </w:rPr>
        <w:t>$3.4 million for the three months ended June 30, 2018. Product revenue consisted of sales of instruments totaling $1.7 million and sales of consumables and other products totaling $1.6 million for the three months ended June 30, 2017. Average sales prices of the Simoa HD-1 Analyzer and consumables did not change materially in the three months ended June 30, 2018 as compared with the three months ended June 30, 2017. Overall average instrument prices have decreased slightly following the introduction of the Quanterix SR-X in the fourth quarter of 2017, which has a lower sales price than the Simoa HD-1 Analyzer. The increase in product revenue of $1.9 million was primarily due to the sale of more instruments in the three months ended June 30, 2018 and increased sales of consumables. The installed base of Simoa instruments increased from June 30, 2017 to June 30, 2018, and as these additional instruments were used by customers, the consumable sales increased. The increase in service and other revenue of $1.6 million was due to increased services performed in our Simoa Accelerator Laboratory; more customers are using these services, and existing customers are using the Accelerator Laboratory more frequently. Collaboration and license revenue in the three months ended June 30, 2018 consists of revenue related to the collaboration arrangement with bioMérieux that was modified in the fourth quarter of 2016.</w:t>
      </w:r>
    </w:p>
    <w:p>
      <w:pPr>
        <w:sectPr>
          <w:pgSz w:w="11900" w:h="16838" w:orient="portrait"/>
          <w:cols w:equalWidth="0" w:num="1">
            <w:col w:w="11420"/>
          </w:cols>
          <w:pgMar w:left="240" w:top="125" w:right="239" w:bottom="108" w:gutter="0" w:footer="0" w:header="0"/>
        </w:sectPr>
      </w:pPr>
    </w:p>
    <w:bookmarkStart w:id="18" w:name="page19"/>
    <w:bookmarkEnd w:id="18"/>
    <w:p>
      <w:pPr>
        <w:ind w:right="140" w:firstLine="648"/>
        <w:spacing w:after="0" w:line="259" w:lineRule="auto"/>
        <w:rPr>
          <w:sz w:val="20"/>
          <w:szCs w:val="20"/>
          <w:color w:val="auto"/>
        </w:rPr>
      </w:pPr>
      <w:r>
        <w:rPr>
          <w:rFonts w:ascii="Arial" w:cs="Arial" w:eastAsia="Arial" w:hAnsi="Arial"/>
          <w:sz w:val="18"/>
          <w:szCs w:val="18"/>
          <w:color w:val="auto"/>
        </w:rPr>
        <w:t>As part of the modification of the collaboration agreement with bioMérieux in the fourth quarter of 2016, we received $2.0 million in additional consideration. This additional consideration along with the deferred revenue on the date of the modification is being recognized over our estimated period of performance, which was initially determined to be 36 months. The estimated performance period is evaluated each reporting period and continues to be consistent with the initial estimate.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Service and License Revenue</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Cost of product revenue increased by $1.1 million, or 60.6%, to $2.9 million for the three months ended June 30, 2018 as compared to $1.8 million for the three months ended June 30, 2017. The increase was primarily due to increased sales of consumables and instruments. Cost of service revenue increased to $1.7 million for the three months ended June 30, 2018 from $1.2 million for the three months ended June 30, 2017. The increase was primarily due to higher utilization of the Simoa Accelerator Laboratory, plus increased personnel costs from the build out of our field service organization. Overall cost of goods sold as a percentage of revenue decreased to 54.0% of total revenue for the three months ended June 30, 2018 as compared to 58.2% for the three months ended June 30, 2017, primarily as a result of increased service revenue offsetting costs associated with the new product launch of the Quanterix SR-X and the impact of the Aushon acquisition.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Research and development expense decreased slightly by $0.2 million, or 5.1%, to $3.7 million for the three months ended June 30, 2018 as compared to $3.9 million for the three months ended June 30, 2017. The decrease was primarily due to a reduction in outside development costs related to our Quanterix SR-X instrument for which development was completed and product launched commercially in the fourth quarter of 2017. The reduction in project costs for the Quanterix SR-X instrument offset an increase in research and development costs due to increased headcount in research and development and the increased use of outside development firms as we increased our new product development efforts.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Selling, general and administrative expense increased by $2.9 million, or 59.7%, to $7.6 million for the three months ended June 30, 2018 as compared to $4.7 million for the same period in 2017. The increase was primarily due to headcount additions in various departments as we build out our organization to support future growth, public company costs, transaction fees and amortization of intangibles associated with the Aushon acquisition, and stock compensation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25"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Interest and other expense, net decreased by $0.1 million, to less than $0.1 million for the three months ended June 30, 2018 as compared to $0.2 million for the same period in 2017, primarily due to the interest income earned on cash equivalents in the three months ended June 30,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2018 and June 30, 2017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Six months ended</w:t>
            </w: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Six months ended</w:t>
            </w: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74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90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June 30, 2017</w:t>
            </w:r>
          </w:p>
        </w:tc>
        <w:tc>
          <w:tcPr>
            <w:tcW w:w="3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7"/>
              </w:rPr>
              <w:t>change</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16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5,682</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3,252</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2,430</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537</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16,164</w:t>
            </w:r>
          </w:p>
        </w:tc>
        <w:tc>
          <w:tcPr>
            <w:tcW w:w="220" w:type="dxa"/>
            <w:vAlign w:val="bottom"/>
            <w:vMerge w:val="continue"/>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10,551</w:t>
            </w:r>
          </w:p>
        </w:tc>
        <w:tc>
          <w:tcPr>
            <w:tcW w:w="320" w:type="dxa"/>
            <w:vAlign w:val="bottom"/>
            <w:vMerge w:val="continue"/>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5,613</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w:t>
            </w:r>
          </w:p>
        </w:tc>
        <w:tc>
          <w:tcPr>
            <w:tcW w:w="22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3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16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3,301</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2,342</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959</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7,349</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8,153</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(804)</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14,271</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88.3%</w:t>
            </w:r>
          </w:p>
        </w:tc>
        <w:tc>
          <w:tcPr>
            <w:tcW w:w="16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8,913</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84.5%</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5,358</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30,639</w:t>
            </w:r>
          </w:p>
        </w:tc>
        <w:tc>
          <w:tcPr>
            <w:tcW w:w="22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189.6%</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23,076</w:t>
            </w:r>
          </w:p>
        </w:tc>
        <w:tc>
          <w:tcPr>
            <w:tcW w:w="3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(14,475)</w:t>
            </w:r>
          </w:p>
        </w:tc>
        <w:tc>
          <w:tcPr>
            <w:tcW w:w="220" w:type="dxa"/>
            <w:vAlign w:val="bottom"/>
            <w:vMerge w:val="continue"/>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(89.6)%</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(12,525)</w:t>
            </w:r>
          </w:p>
        </w:tc>
        <w:tc>
          <w:tcPr>
            <w:tcW w:w="320" w:type="dxa"/>
            <w:vAlign w:val="bottom"/>
            <w:vMerge w:val="continue"/>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(118.7)%</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(1,950)</w:t>
            </w:r>
          </w:p>
        </w:tc>
        <w:tc>
          <w:tcPr>
            <w:tcW w:w="220" w:type="dxa"/>
            <w:vAlign w:val="bottom"/>
            <w:vMerge w:val="continue"/>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(496)</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2,950.0%</w:t>
            </w:r>
          </w:p>
        </w:tc>
        <w:tc>
          <w:tcPr>
            <w:tcW w:w="0" w:type="dxa"/>
            <w:vAlign w:val="bottom"/>
          </w:tcPr>
          <w:p>
            <w:pPr>
              <w:spacing w:after="0"/>
              <w:rPr>
                <w:sz w:val="1"/>
                <w:szCs w:val="1"/>
                <w:color w:val="auto"/>
              </w:rPr>
            </w:pPr>
          </w:p>
        </w:tc>
      </w:tr>
      <w:tr>
        <w:trPr>
          <w:trHeight w:val="20"/>
        </w:trPr>
        <w:tc>
          <w:tcPr>
            <w:tcW w:w="2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(14,545)</w:t>
            </w:r>
          </w:p>
        </w:tc>
        <w:tc>
          <w:tcPr>
            <w:tcW w:w="22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(13,023)</w:t>
            </w:r>
          </w:p>
        </w:tc>
        <w:tc>
          <w:tcPr>
            <w:tcW w:w="3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2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Revenue increased by $5.6 million, or 53.2%, to $16.2 million for the six months ended June 30, 2018 as compared to $10.6 million for the six</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months ended June 30, 2017. Product revenue consisted of sales of instruments totaling $3.7 million and sales of consumables and other products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$6.2 million for the six months ended June 30, 2018. Product revenue consisted of sales of instruments totaling $3.5 million and sales of consumables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products totaling $3.3 million for the six months ended June 30, 2017. Average sales prices of the Simoa HD-1 Analyzer and consumables did not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change materially in the six months ended June 30, 2018 as compared with the six months ended June 30, 2017. Overall average instrument prices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decreased slightly following the introduction of the Quanterix SR-X in the fourth quarter of 2017, which has a lower sales price than the Simoa HD-1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Analyzer. The increase in product revenue of $3.2 million was primarily due to the sale of more instruments in the six months ended June 30, 2018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increased sales of consumables. The installed base of Simoa instruments increased from June 30, 2017 to June 30, 2018, and as these additional instruments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were used by customers, the consumable sales also increased. The increase in service and other revenue of $2.4 million was due to increased services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performed in our Simoa Accelerator Laboratory; more customers are using these services, and existing customers are using the Accelerator Laboratory more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frequently. Collaboration and license revenue in the six months ended June 30, 2018 and 2017 consisted of revenue related to the collaboration arrangement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bioMérieux that was modified in the fourth quarter of 2016.</w:t>
      </w:r>
    </w:p>
    <w:p>
      <w:pPr>
        <w:sectPr>
          <w:pgSz w:w="11900" w:h="16838" w:orient="portrait"/>
          <w:cols w:equalWidth="0" w:num="1">
            <w:col w:w="11420"/>
          </w:cols>
          <w:pgMar w:left="240" w:top="125" w:right="239" w:bottom="177"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77"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Service and License Revenue</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Cost of product revenue increased by $2.0 million, or 55.9%, to $5.7 million for the six months ended June 30, 2018 as compared to $3.7 million for the six months ended June 30, 2017. The increase was primarily due to increased sales of consumables and instruments. Cost of service revenue increased to $3.3 million for the six months ended June 30, 2018 from $2.3 million for the six months ended June 30, 2017. The increase was primarily due to higher utilization of the Simoa Accelerator Laboratory, plus increased personnel costs from the build out of our field service organization. Overall cost of goods sold as a percentage of revenue slightly decreased to 55.8% of total revenue for the six months ended June 30, 2018 as compared to 56.9% for the six months ended June 30, 2017, primarily as a result of increased service revenue offsetting costs associated with the new product launch of the Quanterix SR-X and the impact of the Aushon acquisition.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Research and development expense decreased slightly by $0.9 million, or 9.9%, to $7.3 million for the six months ended June 30, 2018 as compared to $8.2 million for the six months ended June 30, 2017. The decrease was primarily due to a reduction in outside development costs related to our Quanterix SR-X instrument for which development was completed and product launched commercially in the fourth quarter of 2017. The reduction in project costs for the Quanterix SR-X instrument offset an increase in research and development costs due to increased headcount in research and development and the increased use of outside development firms as we increased our new product development efforts.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Selling, general and administrative expense increased by $5.4 million, or 60.1%, to $14.3 million for the six months ended June 30, 2018 as compared to $8.9 million for the same period in 2017. The increase was primarily due to headcount additions in various departments as we build out our organization to support future growth, public company costs, transaction fees and amortization of intangibles associated with the Aushon acquisition, and stock compensation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25"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Interest and other expense, net decreased by $0.4 million, to less than $0.1 million for the six months ended June 30, 2018 as compared to $0.5 million for the same period in 2017, primarily due to an increase in interest income earned on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Since our inception, we have incurred net losses and negative cash flows from operations. We incurred net losses of $14.5 million and $13.0 million and used $14.0 million and $10.2 million of cash from our operating activities for the six months ended June 30, 2018 and 2017, respectively. As of June 30, 2018, we had an accumulated deficit of $158.9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June 30, 2018, we had cash and cash equivalents of $60.5 million, and no additional amounts were available to borrow under our debt facility.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To date, we have financed our operations principally through equity offerings, borrowings from credit facilities and revenue from our commercial operations.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December 2017, we completed our IPO in which we sold 4,916,480 shares of common stock at an initial public offering price of $15.00 per share. The aggregate net proceeds received by us from the offering, net of underwriting discounts and commissions and offering expenses, were $65.6 million. Prior to the IPO, we had raised capital through the sale of redeemable convertible preferred stock in private placement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Facility with Hercules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April 14, 2014, we executed a Loan Agreement with Hercules Capital, Inc. (formerly known as Hercules Technology Growth Capital, Inc.). The Loan Agreement provided a total debt facility of $10.0 million, which is secured by substantially all of our assets. At closing, we borrowed $5.0 million in principal and had the ability to draw the additional $5.0 million over the period from November 1, 2014 to March 31, 2015. The interest rate on this term loan was variable based on a calculation of 8% plus the prime rate less 5.25%, with a minimum interest rate of 8%. Interest was to be paid monthly beginning the month following the borrowing date. Principal payments were scheduled to begin on September 1, 2015, unless we achieved certain milestones which would have extended this date to December 1, 2015 or March 1, 2016. In connection with the execution of the Loan Agreement, we issued Hercules a warrant to purchase up to 173,428 shares of our Series C Preferred Stock at an exercise price of $3.3299 per share. Upon closing of the IPO, this warrant was automatically converted into a warrant to purchase up to 53,960 shares of our common stock at an exercise price of $10.70 per share.</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March 4, 2015, we executed Amendment 1 to the Loan Agreement and drew the additional $5.0 million available under the Loan Agreement at that time. The terms of the amendment deferred principal payments to start on December 1, 2015 or March 1, 2016 if we obtained at least $10.0 million in equity financing before December 1, 2015. This equity financing did not occur before December 1, 2015.</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January 2016, we executed Amendment 2 to the Loan Agreement, which increased the total facility available by $5.0 million to a total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$15.0 million and further delaying the start of principal payments to July 1, 2016. Following the Series D Preferred Stock financing in March 2016, we could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have elected to further delay the start of principal payments until January 1, 2017, however we voluntarily began paying principal on July 1, 2016. Upon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signing this amendment, we drew an additional $3.0 million under the debt facility. The remaining $2.0 million available for borrowing expired unused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2016, decreasing the amounts available under the debt facility to $13.0 million.</w:t>
      </w:r>
    </w:p>
    <w:p>
      <w:pPr>
        <w:sectPr>
          <w:pgSz w:w="11900" w:h="16838" w:orient="portrait"/>
          <w:cols w:equalWidth="0" w:num="1">
            <w:col w:w="11400"/>
          </w:cols>
          <w:pgMar w:left="240" w:top="125" w:right="259" w:bottom="0" w:gutter="0" w:footer="0" w:header="0"/>
        </w:sectPr>
      </w:pPr>
    </w:p>
    <w:bookmarkStart w:id="20" w:name="page21"/>
    <w:bookmarkEnd w:id="20"/>
    <w:p>
      <w:pPr>
        <w:ind w:right="40" w:firstLine="648"/>
        <w:spacing w:after="0" w:line="270" w:lineRule="auto"/>
        <w:rPr>
          <w:sz w:val="20"/>
          <w:szCs w:val="20"/>
          <w:color w:val="auto"/>
        </w:rPr>
      </w:pPr>
      <w:r>
        <w:rPr>
          <w:rFonts w:ascii="Arial" w:cs="Arial" w:eastAsia="Arial" w:hAnsi="Arial"/>
          <w:sz w:val="17"/>
          <w:szCs w:val="17"/>
          <w:color w:val="auto"/>
        </w:rPr>
        <w:t>In March 2017, we signed Amendment 3 to the Loan Agreement increasing the total facility available by $5.0 million to a total of $18.0 million. We had until February 28, 2018 to draw down from this additional available amount. As of March 31, 2018, we had not drawn any of this additional facility. Additionally, the lender may provide an optional term loan, solely at the lender’s discretion, for an incremental $5.0 million. We have until September 3, 2018 to request a draw down from this additional amount. As of June 30, 2018, we have not requested to draw any of this amount. Principal payments were delayed to September 1, 2018 and the loan maturity date was extended to March 1, 2019. We voluntarily made principal payments in the months of March, April and May, 2018. No principal payments were made in June, July or August 2018. We expect to resume paying principal on the loan in September, 2018. The amendment did not affect the due date of the existing end of term fees (in aggregate $0.5 million) which were due on February 1, 2018. In connection with this amendment, we issued Hercules a warrant to purchase up to 38,828 shares of our Series D Preferred Stock at an exercise price of $3.67 per share. Upon closing of the IPO, this warrant was automatically converted into a warrant to purchase up to 12,080 shares of our common stock at an exercise price of $11.80 per share.</w:t>
      </w:r>
    </w:p>
    <w:p>
      <w:pPr>
        <w:spacing w:after="0" w:line="17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Loan Agreement and amendments contain end of term payments and are recorded in the debt accounts. $0.5 million of end of term payments were paid in the first half of 2018.</w:t>
      </w:r>
    </w:p>
    <w:p>
      <w:pPr>
        <w:spacing w:after="0" w:line="170"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The Loan Agreement contains negative covenants restricting our activities, including limitations on dispositions, mergers or acquisitions, incurring indebtedness or liens, paying dividends or making investments and certain other business transactions. There are no financial covenants associated with the Loan Agreement. The obligations under the Loan Agreement are subject to acceleration upon the occurrence of specified events of default, including a material adverse change in our business, operations or financial or other condition, which is subjective in nature. We have determined that the risk of subjective acceleration under the material adverse events clause is not probable and therefore have classified the outstanding principal in current and long-term liabilities based on scheduled principal payments.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principal repayments, including the end of term fees, due as of June 30, 2018 are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gridSpan w:val="2"/>
          </w:tcPr>
          <w:p>
            <w:pPr>
              <w:ind w:left="980"/>
              <w:spacing w:after="0"/>
              <w:rPr>
                <w:sz w:val="20"/>
                <w:szCs w:val="20"/>
                <w:color w:val="auto"/>
              </w:rPr>
            </w:pPr>
            <w:r>
              <w:rPr>
                <w:rFonts w:ascii="Arial" w:cs="Arial" w:eastAsia="Arial" w:hAnsi="Arial"/>
                <w:sz w:val="14"/>
                <w:szCs w:val="14"/>
                <w:b w:val="1"/>
                <w:bCs w:val="1"/>
                <w:color w:val="auto"/>
              </w:rPr>
              <w:t>Years ending December 31:</w:t>
            </w:r>
          </w:p>
        </w:tc>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4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CCEEFF"/>
            </w:tcBorders>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2019</w:t>
            </w:r>
          </w:p>
        </w:tc>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5,845</w:t>
            </w:r>
          </w:p>
        </w:tc>
        <w:tc>
          <w:tcPr>
            <w:tcW w:w="136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426"/>
        </w:trPr>
        <w:tc>
          <w:tcPr>
            <w:tcW w:w="9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200" w:type="dxa"/>
            <w:vAlign w:val="bottom"/>
          </w:tcPr>
          <w:p>
            <w:pPr>
              <w:jc w:val="right"/>
              <w:ind w:right="245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160" w:type="dxa"/>
            <w:vAlign w:val="bottom"/>
            <w:tcBorders>
              <w:bottom w:val="single" w:sz="8" w:color="808080"/>
            </w:tcBorders>
          </w:tcPr>
          <w:p>
            <w:pPr>
              <w:spacing w:after="0"/>
              <w:rPr>
                <w:sz w:val="11"/>
                <w:szCs w:val="11"/>
                <w:color w:val="auto"/>
              </w:rPr>
            </w:pPr>
          </w:p>
        </w:tc>
        <w:tc>
          <w:tcPr>
            <w:tcW w:w="42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flows for each period presented (in thousands):</w:t>
      </w:r>
    </w:p>
    <w:p>
      <w:pPr>
        <w:spacing w:after="0" w:line="217" w:lineRule="exact"/>
        <w:rPr>
          <w:sz w:val="20"/>
          <w:szCs w:val="20"/>
          <w:color w:val="auto"/>
        </w:rPr>
      </w:pPr>
    </w:p>
    <w:p>
      <w:pPr>
        <w:jc w:val="center"/>
        <w:ind w:left="5580"/>
        <w:spacing w:after="0"/>
        <w:rPr>
          <w:sz w:val="20"/>
          <w:szCs w:val="20"/>
          <w:color w:val="auto"/>
        </w:rPr>
      </w:pPr>
      <w:r>
        <w:rPr>
          <w:rFonts w:ascii="Arial" w:cs="Arial" w:eastAsia="Arial" w:hAnsi="Arial"/>
          <w:sz w:val="14"/>
          <w:szCs w:val="14"/>
          <w:b w:val="1"/>
          <w:bCs w:val="1"/>
          <w:color w:val="auto"/>
        </w:rPr>
        <w:t>Six Months ended</w:t>
      </w:r>
    </w:p>
    <w:p>
      <w:pPr>
        <w:jc w:val="center"/>
        <w:ind w:left="55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60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(13,970)</w:t>
            </w:r>
          </w:p>
        </w:tc>
        <w:tc>
          <w:tcPr>
            <w:tcW w:w="3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(10,219)</w:t>
            </w: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(3,691)</w:t>
            </w: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(663)</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(1,547)</w:t>
            </w: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7,504</w:t>
            </w:r>
          </w:p>
        </w:tc>
        <w:tc>
          <w:tcPr>
            <w:tcW w:w="80" w:type="dxa"/>
            <w:vAlign w:val="bottom"/>
            <w:shd w:val="clear" w:color="auto" w:fill="CCEEFF"/>
          </w:tcPr>
          <w:p>
            <w:pPr>
              <w:spacing w:after="0"/>
              <w:rPr>
                <w:sz w:val="18"/>
                <w:szCs w:val="18"/>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(19,208</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(3,378</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6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We derive cash flows from operations primarily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developed our technology, expanded our business and built our infrastructure and this may continue in the future.</w:t>
      </w:r>
    </w:p>
    <w:p>
      <w:pPr>
        <w:spacing w:after="0" w:line="14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Net cash used in operating activities was $14.0 million during the six months ended June 30, 2018. Net cash used in operating activities primarily consisted of the net loss of $14.5 million, and a decrease in accounts payable and accrued expenses of $1.6 million. Other cash outflows including an increase in inventory of $1.1 million, an increase of prepaid and other expenses of $0.7 million and decrease in deferred revenue of $0.5 million are primarily offset by a decrease in accounts receivable of $2.2 million, non-cash stock compensation expense of $1.5 million and other non-cash adjustments of $0.7 million.</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Net cash used in operating activities was $10.2 million during the six months ended June 30, 2017. Net cash used in operating activities primarily consisted of net loss of $13.0 million, primarily offset by a $2.0 million increase in deferred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Historically, our primary investing activities have consisted of capital expenditures for the purchase of capital equipment to support our expanding infrastructure and work force. We expect to continue to incur additional costs for capital expenditures related to these efforts in future periods.</w:t>
      </w:r>
    </w:p>
    <w:p>
      <w:pPr>
        <w:spacing w:after="0" w:line="12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used $3.7 million of cash in investing activities during the six months ended June 30, 2018 consisting of cash paid in the acquisition of Aushon, net of cash acquired, and for purchases of capital equipment to support our infrastructure.</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used $0.7 million of cash in investing activities during the six months ended June 30, 2017 for purchases of capital equipment to support our infrastructure.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Historically, we have financed our operations principally through private placements of our convertible preferred stock and borrowings from credit facilities, the sale of shares of our common stock in our IPO and revenues from our commercial operations.</w:t>
      </w:r>
    </w:p>
    <w:p>
      <w:pPr>
        <w:sectPr>
          <w:pgSz w:w="11900" w:h="16838" w:orient="portrait"/>
          <w:cols w:equalWidth="0" w:num="1">
            <w:col w:w="11460"/>
          </w:cols>
          <w:pgMar w:left="240" w:top="341" w:right="199" w:bottom="0" w:gutter="0" w:footer="0" w:header="0"/>
        </w:sectPr>
      </w:pPr>
    </w:p>
    <w:bookmarkStart w:id="21" w:name="page22"/>
    <w:bookmarkEnd w:id="21"/>
    <w:p>
      <w:pPr>
        <w:ind w:right="860" w:firstLine="648"/>
        <w:spacing w:after="0" w:line="277" w:lineRule="auto"/>
        <w:rPr>
          <w:sz w:val="20"/>
          <w:szCs w:val="20"/>
          <w:color w:val="auto"/>
        </w:rPr>
      </w:pPr>
      <w:r>
        <w:rPr>
          <w:rFonts w:ascii="Arial" w:cs="Arial" w:eastAsia="Arial" w:hAnsi="Arial"/>
          <w:sz w:val="18"/>
          <w:szCs w:val="18"/>
          <w:color w:val="auto"/>
        </w:rPr>
        <w:t>We used $1.5 million of cash in financing activities during the six months ended June 30, 2018, which was primarily used in payments of outstanding debt of $1.9 million, partially offset by proceeds of common stock option exercises of $0.4 million.</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generated $7.5 million of cash in financing activities during the six months ended June 30, 2017, which primarily was from the sale of 2,113,902 shares of our Series D-1 Preferred Stock in June 2017 for net proceeds of $8.4 million, which was partially offset by payments of outstanding debt.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have not achieved profitability on a quarterly or annual basis since our inception, and we expect to continue to incur net losses in the future. We also expect that our operating expenses will increase as we continue to increase our marketing efforts to drive adoption of our commercial products. Additionally, as a public company, we have incurred and will continue to incur significant audit, legal and other expenses that we did not incur as a private company. Our liquidity requirements have historically consisted, and we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expect that they will continue to consist, of sales and marketing expenses, research and development expenses, working capital, debt service and general corporate expenses.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believe cash generated from commercial sales, our current cash and cash equivalents, and interest income we earn on these balances will be sufficient to meet our anticipated operating cash requirements for at least the next 24 months. In the future, we expect our operating and capital expenditures to increase as we increase headcount, expand our sales and marketing activities and grow our customer base. Our estimates of the period of time through which our financial resources will be adequate to support our operations and the costs to support research and development and our sales and marketing activities are forward-looking statements and involve risks and uncertainties and actual results could vary materially and negatively as a result of a number of factors, including the factors discussed in Item 1A, “Risk Factors” of our Annual Report on Form 10-K for the year ended December 31, 2017. We have based our estimates on assumptions that may prove to be wrong and we could utilize our available capital resources sooner than we currently expect. Our future funding requirements will depend on many factors, including:</w:t>
      </w:r>
    </w:p>
    <w:p>
      <w:pPr>
        <w:spacing w:after="0" w:line="179"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acceptance of our products, including the Quanterix SR-X that we launched in the fourth quarter of 2017;</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our existing collaborations and our ability to enter into additional collaborations in the future;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and timing of potential regulatory clearances or approvals that may be required in the future for our products;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Significant Judgments, and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Under the acquisition method of accounting, we allocate the fair value of the total consideration transferred to the tangible and identifiable intangible assets acquired and liabilities assumed based on their estimated fair values on the date of acquisition. The fair values assigned, defined as the price that would be received to sell an asset or paid to transfer a liability in an orderly transaction between willing market participants, are based on estimates and assumptions determined by management. The excess consideration over the aggregate fair value of tangible and intangible assets, net of liabilities assumed, is recorded as goodwill. These valuations require significant estimates and assumptions, especially with respect to intangible assets.</w:t>
      </w:r>
    </w:p>
    <w:p>
      <w:pPr>
        <w:spacing w:after="0" w:line="15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typically use the discounted cash flow method to value acquired intangible assets. This method requires significant management judgment to forecast future operating results and establish residual growth rates and discount factors. The estimates used to value and amortize intangible assets are consistent with the plans and estimates that are used to manage the business and are based on available historical information and industry estimates and averages. If the subsequent actual results and updated projections of the underlying business activity change compared with the assumptions and projections used to develop these values, we could experience impairment charges. In addition, we have estimated the economic lives of certain acquired assets and these lives are used to calculate depreciation and amortization expense. If estimates of the economic lives change, depreciation or amortization expenses could be accelerated or slowed.</w:t>
      </w:r>
    </w:p>
    <w:p>
      <w:pPr>
        <w:spacing w:after="0" w:line="1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condensed consolidated financial statements have been prepared in accordance with U.S. GAAP. Preparation of these statements requires management to make significant judgments and estimates. Some of our accounting policies require estimates which may have a significant impact on amounts reported in these financial statements. A summary of our critical accounting policies and significant estimates may be found in our Annual Report on Form 10-K for the year ended December 31, 2017. Other than adoption of the business combination policy, there have been no other material changes to our critical accounting policies as disclosed in that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ectPr>
          <w:pgSz w:w="11900" w:h="16838" w:orient="portrait"/>
          <w:cols w:equalWidth="0" w:num="1">
            <w:col w:w="11420"/>
          </w:cols>
          <w:pgMar w:left="240" w:top="125" w:right="239" w:bottom="0" w:gutter="0" w:footer="0" w:header="0"/>
        </w:sectPr>
      </w:pPr>
    </w:p>
    <w:bookmarkStart w:id="22" w:name="page23"/>
    <w:bookmarkEnd w:id="22"/>
    <w:p>
      <w:pPr>
        <w:spacing w:after="0" w:line="10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of June 30, 2018, there have been no material changes to our contractual obligations and commitments from those described under “Management’s Discussion and Analysis of Financial Condition and Results of Operations” included in the Annual Report on Form 10-K for the year ended December 31, 2017, as updated in our Quarterly Report on Form 10-Q for the quarter ended March 31,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applicable 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At June 30, 2018, there have been no material changes to the market risk information described under “Quantitative and Qualitative Disclosures About Market Risk” included in the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80" w:firstLine="656"/>
        <w:spacing w:after="0" w:line="293" w:lineRule="auto"/>
        <w:tabs>
          <w:tab w:leader="none" w:pos="938"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Our principal executive officer and principal financial officer, after evaluating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effectiveness of our disclosure controls and procedures (as defined in Exchange Act Rules 13a-15(e) and 15d-15(e)) as of the end of the period covered by this Form 10-Q,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64" w:lineRule="exact"/>
        <w:rPr>
          <w:rFonts w:ascii="Arial" w:cs="Arial" w:eastAsia="Arial" w:hAnsi="Arial"/>
          <w:sz w:val="16"/>
          <w:szCs w:val="16"/>
          <w:color w:val="auto"/>
        </w:rPr>
      </w:pPr>
    </w:p>
    <w:p>
      <w:pPr>
        <w:ind w:right="460" w:firstLine="656"/>
        <w:spacing w:after="0" w:line="264" w:lineRule="auto"/>
        <w:tabs>
          <w:tab w:leader="none" w:pos="948"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identified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evaluation of such internal control that occurred during the three months ended June 30, 2018 that have materially affected, or are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There have been no material changes to the risk factors described in our Annual Report on Form 10-K for the year ended December 31, 2017, filed with the Securities and Exchange Commission on March 19, 2018, except that the following risk factor has been modified to, among other things, reflect the European Union’s General Data Protection Regulation that took effect in the quarter ended June 30, 2018.</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Security breaches, loss of data and other disruptions could compromise sensitive information related to our business or prevent us from accessing critical information and expose us to liability and reputational damage, which could adversely affect our business and our reputation.</w:t>
      </w:r>
    </w:p>
    <w:p>
      <w:pPr>
        <w:spacing w:after="0" w:line="12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the ordinary course of our business, we collect and store sensitive data, intellectual property and proprietary business information owned or controlled by ourselves or our customers. This data encompasses a wide variety of business-critical information including research and development information, commercial information, and business and financial information. We face four primary risks relative to protecting this critical information: loss of access; inappropriate disclosure; inappropriate modification; and inadequate monitoring of our controls over the first three risks.</w:t>
      </w:r>
    </w:p>
    <w:p>
      <w:pPr>
        <w:spacing w:after="0" w:line="17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breaches, interruptions due to employee error, malfeasance, lapses in compliance with privacy and security mandates, or other disruptions. Any such breach or interruption could compromise our networks and the information stored there could be accessed by unauthorized parties, publicly disclosed, lost, or stolen.</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Any such security breach or interruption,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that protect personally identifiable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7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addition, the European Parliament and the Council of the European Union adopted a comprehensive general data privacy regulation, or GDPR, in 2016 to replace the current European Union Data Protection Directive and related country-specific legislation. The GDPR took effect in May 2018 and governs the collection and use of personal data in the European Union. The GDPR, which is wide-ranging in scope, will impose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w:t>
      </w:r>
    </w:p>
    <w:p>
      <w:pPr>
        <w:sectPr>
          <w:pgSz w:w="11900" w:h="16941" w:orient="portrait"/>
          <w:cols w:equalWidth="0" w:num="1">
            <w:col w:w="11400"/>
          </w:cols>
          <w:pgMar w:left="240" w:top="125" w:right="259" w:bottom="0" w:gutter="0" w:footer="0" w:header="0"/>
        </w:sectPr>
      </w:pPr>
    </w:p>
    <w:bookmarkStart w:id="23" w:name="page24"/>
    <w:bookmarkEnd w:id="23"/>
    <w:p>
      <w:pPr>
        <w:ind w:right="180"/>
        <w:spacing w:after="0" w:line="279" w:lineRule="auto"/>
        <w:rPr>
          <w:sz w:val="20"/>
          <w:szCs w:val="20"/>
          <w:color w:val="auto"/>
        </w:rPr>
      </w:pPr>
      <w:r>
        <w:rPr>
          <w:rFonts w:ascii="Arial" w:cs="Arial" w:eastAsia="Arial" w:hAnsi="Arial"/>
          <w:sz w:val="17"/>
          <w:szCs w:val="17"/>
          <w:color w:val="auto"/>
        </w:rPr>
        <w:t>rules on the transfer of personal data out of the European Union to the United States, enhances enforcement authority and imposes large penalties for noncompliance, including the potential for fines of up to €20 million or 4% of the annual global revenues of the infringer, whichever is greater. While we have taken steps to comply with the GDPR, including such as reviewing our security procedures and entering into data processing agreements with relevant contractors, we cannot assure you that our efforts to remain in compliance will be fully successful.</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Further, unauthorized access, loss or dissemination of sensitive information could also disrupt our operations, including our ability to conduct research and development activities, process and prepare company financial information, manage various general and administrative aspects of our business and damage our reputation, any of which could adversely affect our reputation and our business. In addition, there can be no assurance that we will promptly detect any such disruption or security breach, if at all. To the extent that any disruption or security breach were to result in a loss of or damage to our data or applications, or inappropriate disclosure of confidential or proprietary information, we could incur liability and the further development of our products could be delayed.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December 11, 2017, we completed the initial public offering of our common stock, which resulted in the sale of 4,916,480 shares, including</w:t>
      </w:r>
    </w:p>
    <w:p>
      <w:pPr>
        <w:spacing w:after="0" w:line="3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641,280 shares sold by us pursuant to the exercise in full by the underwriters of their option to purchase additional shares in connection with the initial public offering, at a price to the public of $15.00 per share. The offer and sale of all of the shares in our initial public offering was registered under the Securities Act pursuant to a registration statement on Form S-1 (File No. 333-221475), which was declared effective by the SEC on December 6, 2017, and a registration statement on Form S-1 (File No. 333-221932) under Rule 462(b) of the Securities Act that became effective upon its filing. Following the sale of all of the shares in connection with the closing of our initial public offering, the offering terminated. J.P. Morgan Securities LLC, Leerink Partners LLC and Cowen and Company, LLC acted as joint book-running managers for the initial public offering. BTIG, LLC and Evercore Group L.L.C. acted as a co-managers.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received approximately $65.6 million in net proceeds after deducting underwriting discounts and commissions and offering costs payable by us. As of June 30, 2018, we had used approximately $5.1 million of the net proceeds from the offering for: operating expenses, capital investments, debt payments and the acquisition of Aushon. None of the offering expenses consisted of direct or indirect payments made by us to directors, officers or persons owning 10% or more of our common stock or to their associates, or to our affiliates, and we have not used any of the net proceeds from the offering to make payments, directly or indirectly, to any such persons. There has been no material change in the planned use of the net proceeds from our initial public offering as described in our final prospectus filed with the SEC on December 7, 2017 pursuant to Rule 424(b)(4) under the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90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Filed</w:t>
            </w:r>
          </w:p>
        </w:tc>
        <w:tc>
          <w:tcPr>
            <w:tcW w:w="2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Incorporated by</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SEC File/</w:t>
            </w:r>
          </w:p>
        </w:tc>
        <w:tc>
          <w:tcPr>
            <w:tcW w:w="0" w:type="dxa"/>
            <w:vAlign w:val="bottom"/>
          </w:tcPr>
          <w:p>
            <w:pPr>
              <w:spacing w:after="0"/>
              <w:rPr>
                <w:sz w:val="1"/>
                <w:szCs w:val="1"/>
                <w:color w:val="auto"/>
              </w:rPr>
            </w:pPr>
          </w:p>
        </w:tc>
      </w:tr>
      <w:tr>
        <w:trPr>
          <w:trHeight w:val="149"/>
        </w:trPr>
        <w:tc>
          <w:tcPr>
            <w:tcW w:w="86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78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Exhibit Description</w:t>
            </w:r>
          </w:p>
        </w:tc>
        <w:tc>
          <w:tcPr>
            <w:tcW w:w="28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Reference herein from</w:t>
            </w:r>
          </w:p>
        </w:tc>
        <w:tc>
          <w:tcPr>
            <w:tcW w:w="10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Filing Date</w:t>
            </w:r>
          </w:p>
        </w:tc>
        <w:tc>
          <w:tcPr>
            <w:tcW w:w="280" w:type="dxa"/>
            <w:vAlign w:val="bottom"/>
            <w:vMerge w:val="restart"/>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Reg.</w:t>
            </w:r>
          </w:p>
        </w:tc>
        <w:tc>
          <w:tcPr>
            <w:tcW w:w="0" w:type="dxa"/>
            <w:vAlign w:val="bottom"/>
          </w:tcPr>
          <w:p>
            <w:pPr>
              <w:spacing w:after="0"/>
              <w:rPr>
                <w:sz w:val="1"/>
                <w:szCs w:val="1"/>
                <w:color w:val="auto"/>
              </w:rPr>
            </w:pPr>
          </w:p>
        </w:tc>
      </w:tr>
      <w:tr>
        <w:trPr>
          <w:trHeight w:val="171"/>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6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Form or Schedule</w:t>
            </w:r>
          </w:p>
        </w:tc>
        <w:tc>
          <w:tcPr>
            <w:tcW w:w="26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385"/>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260" w:type="dxa"/>
            <w:vAlign w:val="bottom"/>
          </w:tcPr>
          <w:p>
            <w:pPr>
              <w:spacing w:after="0"/>
              <w:rPr>
                <w:sz w:val="24"/>
                <w:szCs w:val="24"/>
                <w:color w:val="auto"/>
              </w:rPr>
            </w:pPr>
          </w:p>
        </w:tc>
        <w:tc>
          <w:tcPr>
            <w:tcW w:w="3920" w:type="dxa"/>
            <w:vAlign w:val="bottom"/>
            <w:gridSpan w:val="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Certification of the Principal Executive Officer</w:t>
              </w:r>
            </w:hyperlink>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pursuant to Section 302 of the Sarbanes-Oxley</w:t>
              </w:r>
            </w:hyperlink>
          </w:p>
        </w:tc>
        <w:tc>
          <w:tcPr>
            <w:tcW w:w="20" w:type="dxa"/>
            <w:vAlign w:val="bottom"/>
            <w:tcBorders>
              <w:top w:val="single" w:sz="8" w:color="0000EE"/>
            </w:tcBorders>
          </w:tcPr>
          <w:p>
            <w:pPr>
              <w:spacing w:after="0"/>
              <w:rPr>
                <w:sz w:val="17"/>
                <w:szCs w:val="17"/>
                <w:color w:val="auto"/>
              </w:rPr>
            </w:pPr>
          </w:p>
        </w:tc>
        <w:tc>
          <w:tcPr>
            <w:tcW w:w="5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Act of 2002</w:t>
              </w:r>
            </w:hyperlink>
          </w:p>
        </w:tc>
        <w:tc>
          <w:tcPr>
            <w:tcW w:w="306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260" w:type="dxa"/>
            <w:vAlign w:val="bottom"/>
          </w:tcPr>
          <w:p>
            <w:pPr>
              <w:spacing w:after="0"/>
              <w:rPr>
                <w:sz w:val="24"/>
                <w:szCs w:val="24"/>
                <w:color w:val="auto"/>
              </w:rPr>
            </w:pPr>
          </w:p>
        </w:tc>
        <w:tc>
          <w:tcPr>
            <w:tcW w:w="334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26">
              <w:r>
                <w:rPr>
                  <w:rFonts w:ascii="Arial" w:cs="Arial" w:eastAsia="Arial" w:hAnsi="Arial"/>
                  <w:sz w:val="18"/>
                  <w:szCs w:val="18"/>
                  <w:color w:val="0000EE"/>
                  <w:w w:val="93"/>
                </w:rPr>
                <w:t>Certification of the Principal Financial Officer</w:t>
              </w:r>
            </w:hyperlink>
          </w:p>
        </w:tc>
        <w:tc>
          <w:tcPr>
            <w:tcW w:w="580" w:type="dxa"/>
            <w:vAlign w:val="bottom"/>
            <w:gridSpan w:val="4"/>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3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pursuant to Section 302 of the Sarbanes-Oxley</w:t>
              </w:r>
            </w:hyperlink>
          </w:p>
        </w:tc>
        <w:tc>
          <w:tcPr>
            <w:tcW w:w="56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Act of 2002</w:t>
              </w:r>
            </w:hyperlink>
          </w:p>
        </w:tc>
        <w:tc>
          <w:tcPr>
            <w:tcW w:w="306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1380" w:type="dxa"/>
            <w:vAlign w:val="bottom"/>
          </w:tcPr>
          <w:p>
            <w:pPr>
              <w:spacing w:after="0"/>
              <w:rPr>
                <w:sz w:val="17"/>
                <w:szCs w:val="17"/>
                <w:color w:val="auto"/>
              </w:rPr>
            </w:pPr>
          </w:p>
        </w:tc>
        <w:tc>
          <w:tcPr>
            <w:tcW w:w="35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Certifications of the Chief Executive Officer and</w:t>
              </w:r>
            </w:hyperlink>
          </w:p>
        </w:tc>
        <w:tc>
          <w:tcPr>
            <w:tcW w:w="480" w:type="dxa"/>
            <w:vAlign w:val="bottom"/>
            <w:gridSpan w:val="2"/>
          </w:tcPr>
          <w:p>
            <w:pPr>
              <w:spacing w:after="0"/>
              <w:rPr>
                <w:sz w:val="17"/>
                <w:szCs w:val="17"/>
                <w:color w:val="auto"/>
              </w:rPr>
            </w:pPr>
          </w:p>
        </w:tc>
        <w:tc>
          <w:tcPr>
            <w:tcW w:w="534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196"/>
        </w:trPr>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Chief Financial Officer pursuant to Section 906 of</w:t>
              </w:r>
            </w:hyperlink>
          </w:p>
        </w:tc>
        <w:tc>
          <w:tcPr>
            <w:tcW w:w="380" w:type="dxa"/>
            <w:vAlign w:val="bottom"/>
          </w:tcPr>
          <w:p>
            <w:pPr>
              <w:spacing w:after="0"/>
              <w:rPr>
                <w:sz w:val="17"/>
                <w:szCs w:val="17"/>
                <w:color w:val="auto"/>
              </w:rPr>
            </w:pPr>
          </w:p>
        </w:tc>
        <w:tc>
          <w:tcPr>
            <w:tcW w:w="534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3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the Sarbanes-Oxley Act of 2002.</w:t>
              </w:r>
            </w:hyperlink>
          </w:p>
        </w:tc>
        <w:tc>
          <w:tcPr>
            <w:tcW w:w="1640" w:type="dxa"/>
            <w:vAlign w:val="bottom"/>
            <w:gridSpan w:val="3"/>
          </w:tcPr>
          <w:p>
            <w:pPr>
              <w:spacing w:after="0"/>
              <w:rPr>
                <w:sz w:val="17"/>
                <w:szCs w:val="17"/>
                <w:color w:val="auto"/>
              </w:rPr>
            </w:pPr>
          </w:p>
        </w:tc>
        <w:tc>
          <w:tcPr>
            <w:tcW w:w="5340" w:type="dxa"/>
            <w:vAlign w:val="bottom"/>
          </w:tcPr>
          <w:p>
            <w:pPr>
              <w:spacing w:after="0"/>
              <w:rPr>
                <w:sz w:val="17"/>
                <w:szCs w:val="17"/>
                <w:color w:val="auto"/>
              </w:rPr>
            </w:pPr>
          </w:p>
        </w:tc>
      </w:tr>
      <w:tr>
        <w:trPr>
          <w:trHeight w:val="453"/>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1380" w:type="dxa"/>
            <w:vAlign w:val="bottom"/>
          </w:tcPr>
          <w:p>
            <w:pPr>
              <w:ind w:left="400"/>
              <w:spacing w:after="0"/>
              <w:rPr>
                <w:sz w:val="20"/>
                <w:szCs w:val="20"/>
                <w:color w:val="auto"/>
              </w:rPr>
            </w:pPr>
            <w:r>
              <w:rPr>
                <w:rFonts w:ascii="Arial" w:cs="Arial" w:eastAsia="Arial" w:hAnsi="Arial"/>
                <w:sz w:val="18"/>
                <w:szCs w:val="18"/>
                <w:color w:val="auto"/>
              </w:rPr>
              <w:t>.INS</w:t>
            </w:r>
          </w:p>
        </w:tc>
        <w:tc>
          <w:tcPr>
            <w:tcW w:w="400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534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432"/>
        </w:trPr>
        <w:tc>
          <w:tcPr>
            <w:tcW w:w="740" w:type="dxa"/>
            <w:vAlign w:val="bottom"/>
          </w:tcPr>
          <w:p>
            <w:pPr>
              <w:spacing w:after="0"/>
              <w:rPr>
                <w:sz w:val="24"/>
                <w:szCs w:val="24"/>
                <w:color w:val="auto"/>
              </w:rPr>
            </w:pPr>
          </w:p>
        </w:tc>
        <w:tc>
          <w:tcPr>
            <w:tcW w:w="1380" w:type="dxa"/>
            <w:vAlign w:val="bottom"/>
          </w:tcPr>
          <w:p>
            <w:pPr>
              <w:ind w:left="400"/>
              <w:spacing w:after="0"/>
              <w:rPr>
                <w:sz w:val="20"/>
                <w:szCs w:val="20"/>
                <w:color w:val="auto"/>
              </w:rPr>
            </w:pPr>
            <w:r>
              <w:rPr>
                <w:rFonts w:ascii="Arial" w:cs="Arial" w:eastAsia="Arial" w:hAnsi="Arial"/>
                <w:sz w:val="18"/>
                <w:szCs w:val="18"/>
                <w:color w:val="auto"/>
              </w:rPr>
              <w:t>.SCH</w:t>
            </w:r>
          </w:p>
        </w:tc>
        <w:tc>
          <w:tcPr>
            <w:tcW w:w="400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534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418"/>
        </w:trPr>
        <w:tc>
          <w:tcPr>
            <w:tcW w:w="740" w:type="dxa"/>
            <w:vAlign w:val="bottom"/>
          </w:tcPr>
          <w:p>
            <w:pPr>
              <w:spacing w:after="0"/>
              <w:rPr>
                <w:sz w:val="24"/>
                <w:szCs w:val="24"/>
                <w:color w:val="auto"/>
              </w:rPr>
            </w:pPr>
          </w:p>
        </w:tc>
        <w:tc>
          <w:tcPr>
            <w:tcW w:w="1380" w:type="dxa"/>
            <w:vAlign w:val="bottom"/>
          </w:tcPr>
          <w:p>
            <w:pPr>
              <w:ind w:left="400"/>
              <w:spacing w:after="0"/>
              <w:rPr>
                <w:sz w:val="20"/>
                <w:szCs w:val="20"/>
                <w:color w:val="auto"/>
              </w:rPr>
            </w:pPr>
            <w:r>
              <w:rPr>
                <w:rFonts w:ascii="Arial" w:cs="Arial" w:eastAsia="Arial" w:hAnsi="Arial"/>
                <w:sz w:val="18"/>
                <w:szCs w:val="18"/>
                <w:color w:val="auto"/>
              </w:rPr>
              <w:t>.CAL</w:t>
            </w:r>
          </w:p>
        </w:tc>
        <w:tc>
          <w:tcPr>
            <w:tcW w:w="40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w:t>
            </w:r>
          </w:p>
        </w:tc>
        <w:tc>
          <w:tcPr>
            <w:tcW w:w="534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230"/>
        </w:trPr>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Document.</w:t>
            </w:r>
          </w:p>
        </w:tc>
        <w:tc>
          <w:tcPr>
            <w:tcW w:w="5340" w:type="dxa"/>
            <w:vAlign w:val="bottom"/>
          </w:tcPr>
          <w:p>
            <w:pPr>
              <w:spacing w:after="0"/>
              <w:rPr>
                <w:sz w:val="20"/>
                <w:szCs w:val="20"/>
                <w:color w:val="auto"/>
              </w:rPr>
            </w:pPr>
          </w:p>
        </w:tc>
      </w:tr>
      <w:tr>
        <w:trPr>
          <w:trHeight w:val="432"/>
        </w:trPr>
        <w:tc>
          <w:tcPr>
            <w:tcW w:w="740" w:type="dxa"/>
            <w:vAlign w:val="bottom"/>
          </w:tcPr>
          <w:p>
            <w:pPr>
              <w:spacing w:after="0"/>
              <w:rPr>
                <w:sz w:val="24"/>
                <w:szCs w:val="24"/>
                <w:color w:val="auto"/>
              </w:rPr>
            </w:pPr>
          </w:p>
        </w:tc>
        <w:tc>
          <w:tcPr>
            <w:tcW w:w="1380" w:type="dxa"/>
            <w:vAlign w:val="bottom"/>
          </w:tcPr>
          <w:p>
            <w:pPr>
              <w:ind w:left="400"/>
              <w:spacing w:after="0"/>
              <w:rPr>
                <w:sz w:val="20"/>
                <w:szCs w:val="20"/>
                <w:color w:val="auto"/>
              </w:rPr>
            </w:pPr>
            <w:r>
              <w:rPr>
                <w:rFonts w:ascii="Arial" w:cs="Arial" w:eastAsia="Arial" w:hAnsi="Arial"/>
                <w:sz w:val="18"/>
                <w:szCs w:val="18"/>
                <w:color w:val="auto"/>
              </w:rPr>
              <w:t>.DEF</w:t>
            </w:r>
          </w:p>
        </w:tc>
        <w:tc>
          <w:tcPr>
            <w:tcW w:w="4000" w:type="dxa"/>
            <w:vAlign w:val="bottom"/>
            <w:gridSpan w:val="4"/>
          </w:tcPr>
          <w:p>
            <w:pPr>
              <w:spacing w:after="0"/>
              <w:rPr>
                <w:sz w:val="20"/>
                <w:szCs w:val="20"/>
                <w:color w:val="auto"/>
              </w:rPr>
            </w:pPr>
            <w:r>
              <w:rPr>
                <w:rFonts w:ascii="Arial" w:cs="Arial" w:eastAsia="Arial" w:hAnsi="Arial"/>
                <w:sz w:val="18"/>
                <w:szCs w:val="18"/>
                <w:color w:val="auto"/>
              </w:rPr>
              <w:t>XBRL Taxonomy Extension Definition.</w:t>
            </w:r>
          </w:p>
        </w:tc>
        <w:tc>
          <w:tcPr>
            <w:tcW w:w="534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418"/>
        </w:trPr>
        <w:tc>
          <w:tcPr>
            <w:tcW w:w="740" w:type="dxa"/>
            <w:vAlign w:val="bottom"/>
          </w:tcPr>
          <w:p>
            <w:pPr>
              <w:spacing w:after="0"/>
              <w:rPr>
                <w:sz w:val="24"/>
                <w:szCs w:val="24"/>
                <w:color w:val="auto"/>
              </w:rPr>
            </w:pPr>
          </w:p>
        </w:tc>
        <w:tc>
          <w:tcPr>
            <w:tcW w:w="1380" w:type="dxa"/>
            <w:vAlign w:val="bottom"/>
          </w:tcPr>
          <w:p>
            <w:pPr>
              <w:ind w:left="400"/>
              <w:spacing w:after="0"/>
              <w:rPr>
                <w:sz w:val="20"/>
                <w:szCs w:val="20"/>
                <w:color w:val="auto"/>
              </w:rPr>
            </w:pPr>
            <w:r>
              <w:rPr>
                <w:rFonts w:ascii="Arial" w:cs="Arial" w:eastAsia="Arial" w:hAnsi="Arial"/>
                <w:sz w:val="18"/>
                <w:szCs w:val="18"/>
                <w:color w:val="auto"/>
              </w:rPr>
              <w:t>.LAB</w:t>
            </w:r>
          </w:p>
        </w:tc>
        <w:tc>
          <w:tcPr>
            <w:tcW w:w="400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w:t>
            </w:r>
          </w:p>
        </w:tc>
        <w:tc>
          <w:tcPr>
            <w:tcW w:w="534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230"/>
        </w:trPr>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Document.</w:t>
            </w:r>
          </w:p>
        </w:tc>
        <w:tc>
          <w:tcPr>
            <w:tcW w:w="5340" w:type="dxa"/>
            <w:vAlign w:val="bottom"/>
          </w:tcPr>
          <w:p>
            <w:pPr>
              <w:spacing w:after="0"/>
              <w:rPr>
                <w:sz w:val="20"/>
                <w:szCs w:val="20"/>
                <w:color w:val="auto"/>
              </w:rPr>
            </w:pPr>
          </w:p>
        </w:tc>
      </w:tr>
      <w:tr>
        <w:trPr>
          <w:trHeight w:val="418"/>
        </w:trPr>
        <w:tc>
          <w:tcPr>
            <w:tcW w:w="740" w:type="dxa"/>
            <w:vAlign w:val="bottom"/>
          </w:tcPr>
          <w:p>
            <w:pPr>
              <w:spacing w:after="0"/>
              <w:rPr>
                <w:sz w:val="24"/>
                <w:szCs w:val="24"/>
                <w:color w:val="auto"/>
              </w:rPr>
            </w:pPr>
          </w:p>
        </w:tc>
        <w:tc>
          <w:tcPr>
            <w:tcW w:w="1380" w:type="dxa"/>
            <w:vAlign w:val="bottom"/>
          </w:tcPr>
          <w:p>
            <w:pPr>
              <w:ind w:left="400"/>
              <w:spacing w:after="0"/>
              <w:rPr>
                <w:sz w:val="20"/>
                <w:szCs w:val="20"/>
                <w:color w:val="auto"/>
              </w:rPr>
            </w:pPr>
            <w:r>
              <w:rPr>
                <w:rFonts w:ascii="Arial" w:cs="Arial" w:eastAsia="Arial" w:hAnsi="Arial"/>
                <w:sz w:val="18"/>
                <w:szCs w:val="18"/>
                <w:color w:val="auto"/>
              </w:rPr>
              <w:t>.PRE</w:t>
            </w:r>
          </w:p>
        </w:tc>
        <w:tc>
          <w:tcPr>
            <w:tcW w:w="4000" w:type="dxa"/>
            <w:vAlign w:val="bottom"/>
            <w:gridSpan w:val="4"/>
          </w:tcPr>
          <w:p>
            <w:pPr>
              <w:spacing w:after="0"/>
              <w:rPr>
                <w:sz w:val="20"/>
                <w:szCs w:val="20"/>
                <w:color w:val="auto"/>
              </w:rPr>
            </w:pPr>
            <w:r>
              <w:rPr>
                <w:rFonts w:ascii="Arial" w:cs="Arial" w:eastAsia="Arial" w:hAnsi="Arial"/>
                <w:sz w:val="18"/>
                <w:szCs w:val="18"/>
                <w:color w:val="auto"/>
              </w:rPr>
              <w:t>XBRL Taxonomy Extension Presentation</w:t>
            </w:r>
          </w:p>
        </w:tc>
        <w:tc>
          <w:tcPr>
            <w:tcW w:w="5340" w:type="dxa"/>
            <w:vAlign w:val="bottom"/>
          </w:tcPr>
          <w:p>
            <w:pPr>
              <w:ind w:left="300"/>
              <w:spacing w:after="0"/>
              <w:rPr>
                <w:sz w:val="20"/>
                <w:szCs w:val="20"/>
                <w:color w:val="auto"/>
              </w:rPr>
            </w:pPr>
            <w:r>
              <w:rPr>
                <w:rFonts w:ascii="Arial" w:cs="Arial" w:eastAsia="Arial" w:hAnsi="Arial"/>
                <w:sz w:val="18"/>
                <w:szCs w:val="18"/>
                <w:color w:val="auto"/>
              </w:rPr>
              <w:t>X</w:t>
            </w:r>
          </w:p>
        </w:tc>
      </w:tr>
      <w:tr>
        <w:trPr>
          <w:trHeight w:val="230"/>
        </w:trPr>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Linkbase Document.</w:t>
            </w:r>
          </w:p>
        </w:tc>
        <w:tc>
          <w:tcPr>
            <w:tcW w:w="5340" w:type="dxa"/>
            <w:vAlign w:val="bottom"/>
          </w:tcPr>
          <w:p>
            <w:pPr>
              <w:spacing w:after="0"/>
              <w:rPr>
                <w:sz w:val="20"/>
                <w:szCs w:val="20"/>
                <w:color w:val="auto"/>
              </w:rPr>
            </w:pPr>
          </w:p>
        </w:tc>
      </w:tr>
      <w:tr>
        <w:trPr>
          <w:trHeight w:val="432"/>
        </w:trPr>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0" w:type="dxa"/>
            <w:vAlign w:val="bottom"/>
            <w:gridSpan w:val="4"/>
          </w:tcPr>
          <w:p>
            <w:pPr>
              <w:ind w:left="3500"/>
              <w:spacing w:after="0"/>
              <w:rPr>
                <w:sz w:val="20"/>
                <w:szCs w:val="20"/>
                <w:color w:val="auto"/>
              </w:rPr>
            </w:pPr>
            <w:r>
              <w:rPr>
                <w:rFonts w:ascii="Arial" w:cs="Arial" w:eastAsia="Arial" w:hAnsi="Arial"/>
                <w:sz w:val="18"/>
                <w:szCs w:val="18"/>
                <w:color w:val="auto"/>
              </w:rPr>
              <w:t>36</w:t>
            </w:r>
          </w:p>
        </w:tc>
        <w:tc>
          <w:tcPr>
            <w:tcW w:w="5340" w:type="dxa"/>
            <w:vAlign w:val="bottom"/>
          </w:tcPr>
          <w:p>
            <w:pPr>
              <w:spacing w:after="0"/>
              <w:rPr>
                <w:sz w:val="24"/>
                <w:szCs w:val="24"/>
                <w:color w:val="auto"/>
              </w:rPr>
            </w:pPr>
          </w:p>
        </w:tc>
      </w:tr>
      <w:tr>
        <w:trPr>
          <w:trHeight w:val="132"/>
        </w:trPr>
        <w:tc>
          <w:tcPr>
            <w:tcW w:w="7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36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53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b w:val="1"/>
                <w:bCs w:val="1"/>
                <w:color w:val="auto"/>
              </w:rPr>
              <w:t>QUANTERIX CORPORATION</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Dated: August 10, 2018</w:t>
            </w:r>
          </w:p>
        </w:tc>
        <w:tc>
          <w:tcPr>
            <w:tcW w:w="2500" w:type="dxa"/>
            <w:vAlign w:val="bottom"/>
          </w:tcPr>
          <w:p>
            <w:pPr>
              <w:ind w:left="20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 Kevin Hrusovsky</w:t>
            </w:r>
          </w:p>
        </w:tc>
        <w:tc>
          <w:tcPr>
            <w:tcW w:w="4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Pr>
          <w:p>
            <w:pPr>
              <w:ind w:left="180"/>
              <w:spacing w:after="0" w:line="195" w:lineRule="exact"/>
              <w:rPr>
                <w:sz w:val="20"/>
                <w:szCs w:val="20"/>
                <w:color w:val="auto"/>
              </w:rPr>
            </w:pPr>
            <w:r>
              <w:rPr>
                <w:rFonts w:ascii="Arial" w:cs="Arial" w:eastAsia="Arial" w:hAnsi="Arial"/>
                <w:sz w:val="18"/>
                <w:szCs w:val="18"/>
                <w:color w:val="auto"/>
              </w:rPr>
              <w:t>/s/ E. Kevin Hrusovsky</w:t>
            </w:r>
          </w:p>
        </w:tc>
        <w:tc>
          <w:tcPr>
            <w:tcW w:w="40" w:type="dxa"/>
            <w:vAlign w:val="bottom"/>
          </w:tcPr>
          <w:p>
            <w:pPr>
              <w:spacing w:after="0"/>
              <w:rPr>
                <w:sz w:val="16"/>
                <w:szCs w:val="16"/>
                <w:color w:val="auto"/>
              </w:rPr>
            </w:pPr>
          </w:p>
        </w:tc>
      </w:tr>
      <w:tr>
        <w:trPr>
          <w:trHeight w:val="216"/>
        </w:trPr>
        <w:tc>
          <w:tcPr>
            <w:tcW w:w="36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w w:val="92"/>
              </w:rPr>
              <w:t>Chairman, President and Chief Executive Officer (principal executive</w:t>
            </w:r>
          </w:p>
        </w:tc>
        <w:tc>
          <w:tcPr>
            <w:tcW w:w="40" w:type="dxa"/>
            <w:vAlign w:val="bottom"/>
          </w:tcPr>
          <w:p>
            <w:pPr>
              <w:spacing w:after="0"/>
              <w:rPr>
                <w:sz w:val="18"/>
                <w:szCs w:val="18"/>
                <w:color w:val="auto"/>
              </w:rPr>
            </w:pPr>
          </w:p>
        </w:tc>
      </w:tr>
      <w:tr>
        <w:trPr>
          <w:trHeight w:val="230"/>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20"/>
                <w:szCs w:val="20"/>
                <w:color w:val="auto"/>
              </w:rPr>
            </w:pPr>
          </w:p>
        </w:tc>
      </w:tr>
      <w:tr>
        <w:trPr>
          <w:trHeight w:val="648"/>
        </w:trPr>
        <w:tc>
          <w:tcPr>
            <w:tcW w:w="3680" w:type="dxa"/>
            <w:vAlign w:val="bottom"/>
          </w:tcPr>
          <w:p>
            <w:pPr>
              <w:spacing w:after="0"/>
              <w:rPr>
                <w:sz w:val="20"/>
                <w:szCs w:val="20"/>
                <w:color w:val="auto"/>
              </w:rPr>
            </w:pPr>
            <w:r>
              <w:rPr>
                <w:rFonts w:ascii="Arial" w:cs="Arial" w:eastAsia="Arial" w:hAnsi="Arial"/>
                <w:sz w:val="18"/>
                <w:szCs w:val="18"/>
                <w:color w:val="auto"/>
              </w:rPr>
              <w:t>Dated: August 10, 2018</w:t>
            </w:r>
          </w:p>
        </w:tc>
        <w:tc>
          <w:tcPr>
            <w:tcW w:w="2500" w:type="dxa"/>
            <w:vAlign w:val="bottom"/>
          </w:tcPr>
          <w:p>
            <w:pPr>
              <w:ind w:left="20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Driscoll</w:t>
            </w:r>
          </w:p>
        </w:tc>
        <w:tc>
          <w:tcPr>
            <w:tcW w:w="4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Pr>
          <w:p>
            <w:pPr>
              <w:ind w:left="180"/>
              <w:spacing w:after="0" w:line="195" w:lineRule="exact"/>
              <w:rPr>
                <w:sz w:val="20"/>
                <w:szCs w:val="20"/>
                <w:color w:val="auto"/>
              </w:rPr>
            </w:pPr>
            <w:r>
              <w:rPr>
                <w:rFonts w:ascii="Arial" w:cs="Arial" w:eastAsia="Arial" w:hAnsi="Arial"/>
                <w:sz w:val="18"/>
                <w:szCs w:val="18"/>
                <w:color w:val="auto"/>
              </w:rPr>
              <w:t>/s/ Joseph Driscoll</w:t>
            </w:r>
          </w:p>
        </w:tc>
        <w:tc>
          <w:tcPr>
            <w:tcW w:w="4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w w:val="98"/>
              </w:rPr>
              <w:t>Chief Financial Officer (principal financial and accounting officer)</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500" w:type="dxa"/>
            <w:vAlign w:val="bottom"/>
          </w:tcPr>
          <w:p>
            <w:pPr>
              <w:jc w:val="right"/>
              <w:ind w:right="290"/>
              <w:spacing w:after="0"/>
              <w:rPr>
                <w:sz w:val="20"/>
                <w:szCs w:val="20"/>
                <w:color w:val="auto"/>
              </w:rPr>
            </w:pPr>
            <w:r>
              <w:rPr>
                <w:rFonts w:ascii="Arial" w:cs="Arial" w:eastAsia="Arial" w:hAnsi="Arial"/>
                <w:sz w:val="18"/>
                <w:szCs w:val="18"/>
                <w:color w:val="auto"/>
              </w:rPr>
              <w:t>37</w:t>
            </w: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5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 Kevin Hrusovsky, certify that:</w:t>
      </w:r>
    </w:p>
    <w:p>
      <w:pPr>
        <w:spacing w:after="0" w:line="225"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420" w:firstLine="656"/>
        <w:spacing w:after="0" w:line="277" w:lineRule="auto"/>
        <w:tabs>
          <w:tab w:leader="none" w:pos="129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right="180" w:firstLine="1305"/>
        <w:spacing w:after="0" w:line="264" w:lineRule="auto"/>
        <w:tabs>
          <w:tab w:leader="none" w:pos="1936"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1305"/>
        <w:spacing w:after="0" w:line="342" w:lineRule="auto"/>
        <w:tabs>
          <w:tab w:leader="none" w:pos="1946"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0" w:firstLine="1305"/>
        <w:spacing w:after="0" w:line="264" w:lineRule="auto"/>
        <w:tabs>
          <w:tab w:leader="none" w:pos="1949"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40" w:firstLine="656"/>
        <w:spacing w:after="0" w:line="342" w:lineRule="auto"/>
        <w:tabs>
          <w:tab w:leader="none" w:pos="129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right="40" w:firstLine="1305"/>
        <w:spacing w:after="0" w:line="308" w:lineRule="auto"/>
        <w:tabs>
          <w:tab w:leader="none" w:pos="1936"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20" w:firstLine="1305"/>
        <w:spacing w:after="0" w:line="277" w:lineRule="auto"/>
        <w:tabs>
          <w:tab w:leader="none" w:pos="1946"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E.Kevin Hrusovsky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 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Joseph Driscoll, certify that:</w:t>
      </w:r>
    </w:p>
    <w:p>
      <w:pPr>
        <w:spacing w:after="0" w:line="225"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420" w:firstLine="656"/>
        <w:spacing w:after="0" w:line="277" w:lineRule="auto"/>
        <w:tabs>
          <w:tab w:leader="none" w:pos="129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right="180" w:firstLine="1305"/>
        <w:spacing w:after="0" w:line="264" w:lineRule="auto"/>
        <w:tabs>
          <w:tab w:leader="none" w:pos="1936"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1305"/>
        <w:spacing w:after="0" w:line="342" w:lineRule="auto"/>
        <w:tabs>
          <w:tab w:leader="none" w:pos="1946"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0" w:firstLine="1305"/>
        <w:spacing w:after="0" w:line="264" w:lineRule="auto"/>
        <w:tabs>
          <w:tab w:leader="none" w:pos="1949"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40" w:firstLine="656"/>
        <w:spacing w:after="0" w:line="342" w:lineRule="auto"/>
        <w:tabs>
          <w:tab w:leader="none" w:pos="129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right="40" w:firstLine="1305"/>
        <w:spacing w:after="0" w:line="308" w:lineRule="auto"/>
        <w:tabs>
          <w:tab w:leader="none" w:pos="1936"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20" w:firstLine="1305"/>
        <w:spacing w:after="0" w:line="277" w:lineRule="auto"/>
        <w:tabs>
          <w:tab w:leader="none" w:pos="1946"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Joseph Driscoll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Driscoll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ind w:left="10480"/>
        <w:spacing w:after="0"/>
        <w:rPr>
          <w:sz w:val="20"/>
          <w:szCs w:val="20"/>
          <w:color w:val="auto"/>
        </w:rPr>
      </w:pPr>
      <w:r>
        <w:rPr>
          <w:rFonts w:ascii="Arial" w:cs="Arial" w:eastAsia="Arial" w:hAnsi="Arial"/>
          <w:sz w:val="17"/>
          <w:szCs w:val="17"/>
          <w:b w:val="1"/>
          <w:bCs w:val="1"/>
          <w:color w:val="auto"/>
        </w:rPr>
        <w:t>Exhibit 32.1</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Quarterly Report for the period ended June 30, 2018 (the “Form 10-Q”) of the Company fully complies with the requirements of</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Section 13(a) or 15(d) of the Securities Exchange Act of 1934, and the information contained in the Form 10-Q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ind w:left="660"/>
              <w:spacing w:after="0"/>
              <w:rPr>
                <w:sz w:val="20"/>
                <w:szCs w:val="20"/>
                <w:color w:val="auto"/>
              </w:rPr>
            </w:pPr>
            <w:r>
              <w:rPr>
                <w:rFonts w:ascii="Arial" w:cs="Arial" w:eastAsia="Arial" w:hAnsi="Arial"/>
                <w:sz w:val="18"/>
                <w:szCs w:val="18"/>
                <w:color w:val="auto"/>
              </w:rPr>
              <w:t>Dated: August 10, 2018</w:t>
            </w:r>
          </w:p>
        </w:tc>
        <w:tc>
          <w:tcPr>
            <w:tcW w:w="170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 Kevin Hrusovsky</w:t>
            </w:r>
          </w:p>
        </w:tc>
        <w:tc>
          <w:tcPr>
            <w:tcW w:w="40" w:type="dxa"/>
            <w:vAlign w:val="bottom"/>
          </w:tcPr>
          <w:p>
            <w:pPr>
              <w:spacing w:after="0"/>
              <w:rPr>
                <w:sz w:val="20"/>
                <w:szCs w:val="20"/>
                <w:color w:val="auto"/>
              </w:rPr>
            </w:pPr>
          </w:p>
        </w:tc>
      </w:tr>
      <w:tr>
        <w:trPr>
          <w:trHeight w:val="195"/>
        </w:trPr>
        <w:tc>
          <w:tcPr>
            <w:tcW w:w="4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E. Kevin Hrusovsky</w:t>
            </w:r>
          </w:p>
        </w:tc>
        <w:tc>
          <w:tcPr>
            <w:tcW w:w="40" w:type="dxa"/>
            <w:vAlign w:val="bottom"/>
          </w:tcPr>
          <w:p>
            <w:pPr>
              <w:spacing w:after="0"/>
              <w:rPr>
                <w:sz w:val="16"/>
                <w:szCs w:val="16"/>
                <w:color w:val="auto"/>
              </w:rPr>
            </w:pPr>
          </w:p>
        </w:tc>
      </w:tr>
      <w:tr>
        <w:trPr>
          <w:trHeight w:val="230"/>
        </w:trPr>
        <w:tc>
          <w:tcPr>
            <w:tcW w:w="40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c>
          <w:tcPr>
            <w:tcW w:w="40" w:type="dxa"/>
            <w:vAlign w:val="bottom"/>
          </w:tcPr>
          <w:p>
            <w:pPr>
              <w:spacing w:after="0"/>
              <w:rPr>
                <w:sz w:val="20"/>
                <w:szCs w:val="20"/>
                <w:color w:val="auto"/>
              </w:rPr>
            </w:pPr>
          </w:p>
        </w:tc>
      </w:tr>
      <w:tr>
        <w:trPr>
          <w:trHeight w:val="648"/>
        </w:trPr>
        <w:tc>
          <w:tcPr>
            <w:tcW w:w="4020" w:type="dxa"/>
            <w:vAlign w:val="bottom"/>
          </w:tcPr>
          <w:p>
            <w:pPr>
              <w:ind w:left="660"/>
              <w:spacing w:after="0"/>
              <w:rPr>
                <w:sz w:val="20"/>
                <w:szCs w:val="20"/>
                <w:color w:val="auto"/>
              </w:rPr>
            </w:pPr>
            <w:r>
              <w:rPr>
                <w:rFonts w:ascii="Arial" w:cs="Arial" w:eastAsia="Arial" w:hAnsi="Arial"/>
                <w:sz w:val="18"/>
                <w:szCs w:val="18"/>
                <w:color w:val="auto"/>
              </w:rPr>
              <w:t>Dated: August 10, 2018</w:t>
            </w:r>
          </w:p>
        </w:tc>
        <w:tc>
          <w:tcPr>
            <w:tcW w:w="17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Driscoll</w:t>
            </w:r>
          </w:p>
        </w:tc>
        <w:tc>
          <w:tcPr>
            <w:tcW w:w="40" w:type="dxa"/>
            <w:vAlign w:val="bottom"/>
          </w:tcPr>
          <w:p>
            <w:pPr>
              <w:spacing w:after="0"/>
              <w:rPr>
                <w:sz w:val="24"/>
                <w:szCs w:val="24"/>
                <w:color w:val="auto"/>
              </w:rPr>
            </w:pPr>
          </w:p>
        </w:tc>
      </w:tr>
      <w:tr>
        <w:trPr>
          <w:trHeight w:val="195"/>
        </w:trPr>
        <w:tc>
          <w:tcPr>
            <w:tcW w:w="4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Joseph Driscoll</w:t>
            </w:r>
          </w:p>
        </w:tc>
        <w:tc>
          <w:tcPr>
            <w:tcW w:w="40" w:type="dxa"/>
            <w:vAlign w:val="bottom"/>
          </w:tcPr>
          <w:p>
            <w:pPr>
              <w:spacing w:after="0"/>
              <w:rPr>
                <w:sz w:val="16"/>
                <w:szCs w:val="16"/>
                <w:color w:val="auto"/>
              </w:rPr>
            </w:pPr>
          </w:p>
        </w:tc>
      </w:tr>
      <w:tr>
        <w:trPr>
          <w:trHeight w:val="230"/>
        </w:trPr>
        <w:tc>
          <w:tcPr>
            <w:tcW w:w="40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4020" w:type="dxa"/>
            <w:vAlign w:val="bottom"/>
          </w:tcPr>
          <w:p>
            <w:pPr>
              <w:spacing w:after="0"/>
              <w:rPr>
                <w:sz w:val="24"/>
                <w:szCs w:val="24"/>
                <w:color w:val="auto"/>
              </w:rPr>
            </w:pPr>
          </w:p>
        </w:tc>
        <w:tc>
          <w:tcPr>
            <w:tcW w:w="7400" w:type="dxa"/>
            <w:vAlign w:val="bottom"/>
            <w:gridSpan w:val="2"/>
          </w:tcPr>
          <w:p>
            <w:pPr>
              <w:jc w:val="right"/>
              <w:ind w:right="55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132"/>
        </w:trPr>
        <w:tc>
          <w:tcPr>
            <w:tcW w:w="402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5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decimal"/>
      <w:start w:val="15"/>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2019-12-28T20:04:56Z</dcterms:created>
  <dcterms:modified xsi:type="dcterms:W3CDTF">2019-12-28T20:04:56Z</dcterms:modified>
</cp:coreProperties>
</file>